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480"/>
        <w:jc w:val="center"/>
      </w:pPr>
      <w:r>
        <w:rPr>
          <w:rFonts w:ascii="Calibri" w:cs="Calibri" w:eastAsia="Calibri" w:hAnsi="Calibri"/>
          <w:b/>
          <w:bCs/>
          <w:color w:val="111827"/>
          <w:sz w:val="44"/>
          <w:szCs w:val="44"/>
        </w:rPr>
        <w:t xml:space="preserve">TERRA INSIGHT</w:t>
      </w:r>
    </w:p>
    <w:p>
      <w:pPr>
        <w:spacing w:after="480"/>
        <w:jc w:val="center"/>
      </w:pPr>
      <w:r>
        <w:rPr>
          <w:rFonts w:ascii="Calibri" w:cs="Calibri" w:eastAsia="Calibri" w:hAnsi="Calibri"/>
          <w:i/>
          <w:iCs/>
          <w:color w:val="555555"/>
          <w:sz w:val="22"/>
          <w:szCs w:val="22"/>
        </w:rPr>
        <w:t xml:space="preserve">Playbook Downloadable</w:t>
      </w:r>
    </w:p>
    <w:p>
      <w:pPr>
        <w:spacing w:after="120"/>
        <w:jc w:val="center"/>
      </w:pPr>
      <w:r>
        <w:rPr>
          <w:rFonts w:ascii="Calibri" w:cs="Calibri" w:eastAsia="Calibri" w:hAnsi="Calibri"/>
          <w:b/>
          <w:bCs/>
          <w:color w:val="0B3D91"/>
          <w:sz w:val="40"/>
          <w:szCs w:val="40"/>
        </w:rPr>
        <w:t xml:space="preserve">Vendor GSTR-1 Follow-Up Letter Pack</w:t>
      </w:r>
    </w:p>
    <w:p>
      <w:pPr>
        <w:spacing w:after="360"/>
        <w:jc w:val="center"/>
      </w:pPr>
      <w:r>
        <w:rPr>
          <w:rFonts w:ascii="Calibri" w:cs="Calibri" w:eastAsia="Calibri" w:hAnsi="Calibri"/>
          <w:i/>
          <w:iCs/>
          <w:color w:val="333333"/>
          <w:sz w:val="26"/>
          <w:szCs w:val="26"/>
        </w:rPr>
        <w:t xml:space="preserve">Six Escalating Templates — T+30 to T+180</w:t>
      </w:r>
    </w:p>
    <w:p>
      <w:pPr>
        <w:spacing w:after="120"/>
        <w:jc w:val="center"/>
      </w:pPr>
      <w:r>
        <w:rPr>
          <w:rFonts w:ascii="Calibri" w:cs="Calibri" w:eastAsia="Calibri" w:hAnsi="Calibri"/>
          <w:color w:val="444444"/>
          <w:sz w:val="20"/>
          <w:szCs w:val="20"/>
        </w:rPr>
        <w:t xml:space="preserve">Version 1.0 · 2026-08-06</w:t>
      </w:r>
    </w:p>
    <w:p>
      <w:pPr>
        <w:spacing w:after="240" w:before="120"/>
        <w:jc w:val="center"/>
      </w:pPr>
      <w:r>
        <w:rPr>
          <w:rFonts w:ascii="Calibri" w:cs="Calibri" w:eastAsia="Calibri" w:hAnsi="Calibri"/>
          <w:b/>
          <w:bCs/>
          <w:i/>
          <w:iCs/>
          <w:color w:val="B00020"/>
          <w:sz w:val="18"/>
          <w:szCs w:val="18"/>
        </w:rPr>
        <w:t xml:space="preserve">CUSTOMISE EVERY LETTER BEFORE SENDING</w:t>
      </w:r>
    </w:p>
    <w:p>
      <w:pPr>
        <w:spacing w:after="120" w:before="240"/>
      </w:pPr>
      <w:r>
        <w:rPr>
          <w:rFonts w:ascii="Calibri" w:cs="Calibri" w:eastAsia="Calibri" w:hAnsi="Calibri"/>
          <w:b/>
          <w:bCs/>
          <w:color w:val="0B3D91"/>
          <w:sz w:val="26"/>
          <w:szCs w:val="26"/>
        </w:rPr>
        <w:t xml:space="preserve">Letter Index</w:t>
      </w:r>
    </w:p>
    <w:p>
      <w:pPr>
        <w:spacing w:after="100"/>
      </w:pPr>
      <w:r>
        <w:rPr>
          <w:rFonts w:ascii="Calibri" w:cs="Calibri" w:eastAsia="Calibri" w:hAnsi="Calibri"/>
          <w:b/>
          <w:bCs/>
          <w:color w:val="0B3D91"/>
          <w:sz w:val="22"/>
          <w:szCs w:val="22"/>
        </w:rPr>
        <w:t xml:space="preserve">01</w:t>
      </w:r>
      <w:r>
        <w:rPr>
          <w:rFonts w:ascii="Calibri" w:cs="Calibri" w:eastAsia="Calibri" w:hAnsi="Calibri"/>
          <w:sz w:val="22"/>
          <w:szCs w:val="22"/>
        </w:rPr>
        <w:t xml:space="preserve">  </w:t>
      </w:r>
      <w:r>
        <w:rPr>
          <w:rFonts w:ascii="Calibri" w:cs="Calibri" w:eastAsia="Calibri" w:hAnsi="Calibri"/>
          <w:b/>
          <w:bCs/>
          <w:sz w:val="22"/>
          <w:szCs w:val="22"/>
        </w:rPr>
        <w:t xml:space="preserve">Level 1 — Friendly Reminder</w:t>
      </w:r>
      <w:r>
        <w:rPr>
          <w:rFonts w:ascii="Calibri" w:cs="Calibri" w:eastAsia="Calibri" w:hAnsi="Calibri"/>
          <w:color w:val="444444"/>
          <w:sz w:val="20"/>
          <w:szCs w:val="20"/>
        </w:rPr>
        <w:t xml:space="preserve">  —  T+30 · Accounts contact  —  </w:t>
      </w:r>
      <w:r>
        <w:rPr>
          <w:rFonts w:ascii="Calibri" w:cs="Calibri" w:eastAsia="Calibri" w:hAnsi="Calibri"/>
          <w:i/>
          <w:iCs/>
          <w:color w:val="333333"/>
          <w:sz w:val="20"/>
          <w:szCs w:val="20"/>
        </w:rPr>
        <w:t xml:space="preserve">Nudge under Section 39 filing date</w:t>
      </w:r>
    </w:p>
    <w:p>
      <w:pPr>
        <w:spacing w:after="100"/>
      </w:pPr>
      <w:r>
        <w:rPr>
          <w:rFonts w:ascii="Calibri" w:cs="Calibri" w:eastAsia="Calibri" w:hAnsi="Calibri"/>
          <w:b/>
          <w:bCs/>
          <w:color w:val="0B3D91"/>
          <w:sz w:val="22"/>
          <w:szCs w:val="22"/>
        </w:rPr>
        <w:t xml:space="preserve">02</w:t>
      </w:r>
      <w:r>
        <w:rPr>
          <w:rFonts w:ascii="Calibri" w:cs="Calibri" w:eastAsia="Calibri" w:hAnsi="Calibri"/>
          <w:sz w:val="22"/>
          <w:szCs w:val="22"/>
        </w:rPr>
        <w:t xml:space="preserve">  </w:t>
      </w:r>
      <w:r>
        <w:rPr>
          <w:rFonts w:ascii="Calibri" w:cs="Calibri" w:eastAsia="Calibri" w:hAnsi="Calibri"/>
          <w:b/>
          <w:bCs/>
          <w:sz w:val="22"/>
          <w:szCs w:val="22"/>
        </w:rPr>
        <w:t xml:space="preserve">Level 2 — Formal CFO Request</w:t>
      </w:r>
      <w:r>
        <w:rPr>
          <w:rFonts w:ascii="Calibri" w:cs="Calibri" w:eastAsia="Calibri" w:hAnsi="Calibri"/>
          <w:color w:val="444444"/>
          <w:sz w:val="20"/>
          <w:szCs w:val="20"/>
        </w:rPr>
        <w:t xml:space="preserve">  —  T+60 · Supplier CFO  —  </w:t>
      </w:r>
      <w:r>
        <w:rPr>
          <w:rFonts w:ascii="Calibri" w:cs="Calibri" w:eastAsia="Calibri" w:hAnsi="Calibri"/>
          <w:i/>
          <w:iCs/>
          <w:color w:val="333333"/>
          <w:sz w:val="20"/>
          <w:szCs w:val="20"/>
        </w:rPr>
        <w:t xml:space="preserve">Section 39 breach + Section 16(4) horizon</w:t>
      </w:r>
    </w:p>
    <w:p>
      <w:pPr>
        <w:spacing w:after="100"/>
      </w:pPr>
      <w:r>
        <w:rPr>
          <w:rFonts w:ascii="Calibri" w:cs="Calibri" w:eastAsia="Calibri" w:hAnsi="Calibri"/>
          <w:b/>
          <w:bCs/>
          <w:color w:val="0B3D91"/>
          <w:sz w:val="22"/>
          <w:szCs w:val="22"/>
        </w:rPr>
        <w:t xml:space="preserve">03</w:t>
      </w:r>
      <w:r>
        <w:rPr>
          <w:rFonts w:ascii="Calibri" w:cs="Calibri" w:eastAsia="Calibri" w:hAnsi="Calibri"/>
          <w:sz w:val="22"/>
          <w:szCs w:val="22"/>
        </w:rPr>
        <w:t xml:space="preserve">  </w:t>
      </w:r>
      <w:r>
        <w:rPr>
          <w:rFonts w:ascii="Calibri" w:cs="Calibri" w:eastAsia="Calibri" w:hAnsi="Calibri"/>
          <w:b/>
          <w:bCs/>
          <w:sz w:val="22"/>
          <w:szCs w:val="22"/>
        </w:rPr>
        <w:t xml:space="preserve">Level 3 — Indemnity Clause Reference</w:t>
      </w:r>
      <w:r>
        <w:rPr>
          <w:rFonts w:ascii="Calibri" w:cs="Calibri" w:eastAsia="Calibri" w:hAnsi="Calibri"/>
          <w:color w:val="444444"/>
          <w:sz w:val="20"/>
          <w:szCs w:val="20"/>
        </w:rPr>
        <w:t xml:space="preserve">  —  T+90 · Supplier CFO  —  </w:t>
      </w:r>
      <w:r>
        <w:rPr>
          <w:rFonts w:ascii="Calibri" w:cs="Calibri" w:eastAsia="Calibri" w:hAnsi="Calibri"/>
          <w:i/>
          <w:iCs/>
          <w:color w:val="333333"/>
          <w:sz w:val="20"/>
          <w:szCs w:val="20"/>
        </w:rPr>
        <w:t xml:space="preserve">Purchase-order tax indemnity + aggregate exposure</w:t>
      </w:r>
    </w:p>
    <w:p>
      <w:pPr>
        <w:spacing w:after="100"/>
      </w:pPr>
      <w:r>
        <w:rPr>
          <w:rFonts w:ascii="Calibri" w:cs="Calibri" w:eastAsia="Calibri" w:hAnsi="Calibri"/>
          <w:b/>
          <w:bCs/>
          <w:color w:val="0B3D91"/>
          <w:sz w:val="22"/>
          <w:szCs w:val="22"/>
        </w:rPr>
        <w:t xml:space="preserve">04</w:t>
      </w:r>
      <w:r>
        <w:rPr>
          <w:rFonts w:ascii="Calibri" w:cs="Calibri" w:eastAsia="Calibri" w:hAnsi="Calibri"/>
          <w:sz w:val="22"/>
          <w:szCs w:val="22"/>
        </w:rPr>
        <w:t xml:space="preserve">  </w:t>
      </w:r>
      <w:r>
        <w:rPr>
          <w:rFonts w:ascii="Calibri" w:cs="Calibri" w:eastAsia="Calibri" w:hAnsi="Calibri"/>
          <w:b/>
          <w:bCs/>
          <w:sz w:val="22"/>
          <w:szCs w:val="22"/>
        </w:rPr>
        <w:t xml:space="preserve">Level 4 — Payment Hold Notice</w:t>
      </w:r>
      <w:r>
        <w:rPr>
          <w:rFonts w:ascii="Calibri" w:cs="Calibri" w:eastAsia="Calibri" w:hAnsi="Calibri"/>
          <w:color w:val="444444"/>
          <w:sz w:val="20"/>
          <w:szCs w:val="20"/>
        </w:rPr>
        <w:t xml:space="preserve">  —  T+120 · Supplier CFO + legal copy  —  </w:t>
      </w:r>
      <w:r>
        <w:rPr>
          <w:rFonts w:ascii="Calibri" w:cs="Calibri" w:eastAsia="Calibri" w:hAnsi="Calibri"/>
          <w:i/>
          <w:iCs/>
          <w:color w:val="333333"/>
          <w:sz w:val="20"/>
          <w:szCs w:val="20"/>
        </w:rPr>
        <w:t xml:space="preserve">Contract Act 1872 Section 55 (time as essence)</w:t>
      </w:r>
    </w:p>
    <w:p>
      <w:pPr>
        <w:spacing w:after="100"/>
      </w:pPr>
      <w:r>
        <w:rPr>
          <w:rFonts w:ascii="Calibri" w:cs="Calibri" w:eastAsia="Calibri" w:hAnsi="Calibri"/>
          <w:b/>
          <w:bCs/>
          <w:color w:val="0B3D91"/>
          <w:sz w:val="22"/>
          <w:szCs w:val="22"/>
        </w:rPr>
        <w:t xml:space="preserve">05</w:t>
      </w:r>
      <w:r>
        <w:rPr>
          <w:rFonts w:ascii="Calibri" w:cs="Calibri" w:eastAsia="Calibri" w:hAnsi="Calibri"/>
          <w:sz w:val="22"/>
          <w:szCs w:val="22"/>
        </w:rPr>
        <w:t xml:space="preserve">  </w:t>
      </w:r>
      <w:r>
        <w:rPr>
          <w:rFonts w:ascii="Calibri" w:cs="Calibri" w:eastAsia="Calibri" w:hAnsi="Calibri"/>
          <w:b/>
          <w:bCs/>
          <w:sz w:val="22"/>
          <w:szCs w:val="22"/>
        </w:rPr>
        <w:t xml:space="preserve">Level 5 — Commercial Recovery Debit Note</w:t>
      </w:r>
      <w:r>
        <w:rPr>
          <w:rFonts w:ascii="Calibri" w:cs="Calibri" w:eastAsia="Calibri" w:hAnsi="Calibri"/>
          <w:color w:val="444444"/>
          <w:sz w:val="20"/>
          <w:szCs w:val="20"/>
        </w:rPr>
        <w:t xml:space="preserve">  —  T+150 · Supplier CFO + CPO copy  —  </w:t>
      </w:r>
      <w:r>
        <w:rPr>
          <w:rFonts w:ascii="Calibri" w:cs="Calibri" w:eastAsia="Calibri" w:hAnsi="Calibri"/>
          <w:i/>
          <w:iCs/>
          <w:color w:val="333333"/>
          <w:sz w:val="20"/>
          <w:szCs w:val="20"/>
        </w:rPr>
        <w:t xml:space="preserve">Commercial debit note + Section 34 credit-note demand</w:t>
      </w:r>
    </w:p>
    <w:p>
      <w:pPr>
        <w:spacing w:after="100"/>
      </w:pPr>
      <w:r>
        <w:rPr>
          <w:rFonts w:ascii="Calibri" w:cs="Calibri" w:eastAsia="Calibri" w:hAnsi="Calibri"/>
          <w:b/>
          <w:bCs/>
          <w:color w:val="0B3D91"/>
          <w:sz w:val="22"/>
          <w:szCs w:val="22"/>
        </w:rPr>
        <w:t xml:space="preserve">06</w:t>
      </w:r>
      <w:r>
        <w:rPr>
          <w:rFonts w:ascii="Calibri" w:cs="Calibri" w:eastAsia="Calibri" w:hAnsi="Calibri"/>
          <w:sz w:val="22"/>
          <w:szCs w:val="22"/>
        </w:rPr>
        <w:t xml:space="preserve">  </w:t>
      </w:r>
      <w:r>
        <w:rPr>
          <w:rFonts w:ascii="Calibri" w:cs="Calibri" w:eastAsia="Calibri" w:hAnsi="Calibri"/>
          <w:b/>
          <w:bCs/>
          <w:sz w:val="22"/>
          <w:szCs w:val="22"/>
        </w:rPr>
        <w:t xml:space="preserve">Level 6 — Pre-Legal Notice</w:t>
      </w:r>
      <w:r>
        <w:rPr>
          <w:rFonts w:ascii="Calibri" w:cs="Calibri" w:eastAsia="Calibri" w:hAnsi="Calibri"/>
          <w:color w:val="444444"/>
          <w:sz w:val="20"/>
          <w:szCs w:val="20"/>
        </w:rPr>
        <w:t xml:space="preserve">  —  T+180 · Supplier CEO + counsel  —  </w:t>
      </w:r>
      <w:r>
        <w:rPr>
          <w:rFonts w:ascii="Calibri" w:cs="Calibri" w:eastAsia="Calibri" w:hAnsi="Calibri"/>
          <w:i/>
          <w:iCs/>
          <w:color w:val="333333"/>
          <w:sz w:val="20"/>
          <w:szCs w:val="20"/>
        </w:rPr>
        <w:t xml:space="preserve">Section 16(4) + Section 122 + arbitration</w:t>
      </w:r>
    </w:p>
    <w:p>
      <w:pPr>
        <w:spacing w:after="120" w:before="360"/>
      </w:pPr>
      <w:r>
        <w:rPr>
          <w:rFonts w:ascii="Calibri" w:cs="Calibri" w:eastAsia="Calibri" w:hAnsi="Calibri"/>
          <w:b/>
          <w:bCs/>
          <w:color w:val="0B3D91"/>
          <w:sz w:val="24"/>
          <w:szCs w:val="24"/>
        </w:rPr>
        <w:t xml:space="preserve">How to use this pack</w:t>
      </w:r>
    </w:p>
    <w:p>
      <w:pPr>
        <w:spacing w:after="200" w:line="300"/>
        <w:jc w:val="both"/>
      </w:pPr>
      <w:r>
        <w:rPr>
          <w:rFonts w:ascii="Calibri" w:cs="Calibri" w:eastAsia="Calibri" w:hAnsi="Calibri"/>
          <w:sz w:val="22"/>
          <w:szCs w:val="22"/>
        </w:rPr>
        <w:t xml:space="preserve">Every template ships with placeholder counterparties (in square brackets) and illustrative rupee figures. Before any letter is sent, the enterprise must replace all placeholder fields with the actual invoice particulars, supplier name and GSTIN, aggregate exposure, statutory dates for the applicable financial year, and the recipient signatory details.</w:t>
      </w:r>
    </w:p>
    <w:p>
      <w:pPr>
        <w:spacing w:after="200" w:line="300"/>
        <w:jc w:val="both"/>
      </w:pPr>
      <w:r>
        <w:rPr>
          <w:rFonts w:ascii="Calibri" w:cs="Calibri" w:eastAsia="Calibri" w:hAnsi="Calibri"/>
          <w:sz w:val="22"/>
          <w:szCs w:val="22"/>
        </w:rPr>
        <w:t xml:space="preserve">Each level is calibrated for a specific escalation stage. Do not skip levels. Do not compress the T+30 to T+180 window — the paper trail is the recovery instrument every subsequent level depends on. Refer to the README.md file inside the pack for the full escalation-timing rubric and cross-references to the parent runbook and the reconciliation playbook pillar.</w:t>
      </w:r>
    </w:p>
    <w:p>
      <w:pPr>
        <w:spacing w:after="60" w:before="240"/>
      </w:pPr>
      <w:r>
        <w:rPr>
          <w:rFonts w:ascii="Calibri" w:cs="Calibri" w:eastAsia="Calibri" w:hAnsi="Calibri"/>
          <w:b/>
          <w:bCs/>
          <w:color w:val="0B3D91"/>
          <w:sz w:val="22"/>
          <w:szCs w:val="22"/>
        </w:rPr>
        <w:t xml:space="preserve">Attribution</w:t>
      </w:r>
    </w:p>
    <w:p>
      <w:pPr>
        <w:spacing w:after="200" w:line="300"/>
        <w:jc w:val="both"/>
      </w:pPr>
      <w:r>
        <w:rPr>
          <w:rFonts w:ascii="Calibri" w:cs="Calibri" w:eastAsia="Calibri" w:hAnsi="Calibri"/>
          <w:sz w:val="22"/>
          <w:szCs w:val="22"/>
        </w:rPr>
        <w:t xml:space="preserve">Prepared by the Terra Insight Editorial Team. Anchored to the reconciliation playbook pillar and the GSTR-2B input tax credit runbook. Illustrative rupee figures and placeholder counterparties throughout — replace before use.</w:t>
      </w:r>
    </w:p>
    <w:p>
      <w:pPr>
        <w:spacing w:after="120" w:before="240"/>
      </w:pPr>
      <w:r>
        <w:rPr>
          <w:rFonts w:ascii="Calibri" w:cs="Calibri" w:eastAsia="Calibri" w:hAnsi="Calibri"/>
          <w:i/>
          <w:iCs/>
          <w:color w:val="444444"/>
          <w:sz w:val="18"/>
          <w:szCs w:val="18"/>
        </w:rPr>
        <w:t xml:space="preserve">Statutory anchors: Section 16(4), Section 34, Section 39, Section 122 of the CGST Act 2017; Rule 37A of the CGST Rules 2017; Section 55 of the Indian Contract Act 1872.</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333333" w:sz="6" w:space="6"/>
      </w:pBdr>
      <w:spacing w:before="120"/>
      <w:jc w:val="center"/>
    </w:pPr>
    <w:r>
      <w:rPr>
        <w:rFonts w:ascii="Calibri" w:cs="Calibri" w:eastAsia="Calibri" w:hAnsi="Calibri"/>
        <w:i/>
        <w:iCs/>
        <w:color w:val="666666"/>
        <w:sz w:val="16"/>
        <w:szCs w:val="16"/>
      </w:rPr>
      <w:t xml:space="preserve">Illustrative template — customise every field before sending</w:t>
    </w:r>
  </w:p>
  <w:p>
    <w:pPr>
      <w:jc w:val="center"/>
    </w:pPr>
    <w:r>
      <w:rPr>
        <w:rFonts w:ascii="Calibri" w:cs="Calibri" w:eastAsia="Calibri" w:hAnsi="Calibri"/>
        <w:color w:val="888888"/>
        <w:sz w:val="14"/>
        <w:szCs w:val="14"/>
      </w:rPr>
      <w:t xml:space="preserve">Vendor GSTR-1 Follow-Up Letter Pack v1.0 · Terra Insight Editorial Team · 2026-08-06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right"/>
    </w:pPr>
    <w:r>
      <w:rPr>
        <w:rFonts w:ascii="Calibri" w:cs="Calibri" w:eastAsia="Calibri" w:hAnsi="Calibri"/>
        <w:b/>
        <w:bCs/>
        <w:sz w:val="22"/>
        <w:szCs w:val="22"/>
      </w:rPr>
      <w:t xml:space="preserve">TERRA INSIGHT</w:t>
    </w:r>
  </w:p>
  <w:p>
    <w:pPr>
      <w:pBdr>
        <w:bottom w:val="single" w:color="333333" w:sz="6" w:space="6"/>
      </w:pBdr>
      <w:spacing w:after="240"/>
      <w:jc w:val="right"/>
    </w:pPr>
    <w:r>
      <w:rPr>
        <w:rFonts w:ascii="Calibri" w:cs="Calibri" w:eastAsia="Calibri" w:hAnsi="Calibri"/>
        <w:i/>
        <w:iCs/>
        <w:color w:val="555555"/>
        <w:sz w:val="18"/>
        <w:szCs w:val="18"/>
      </w:rPr>
      <w:t xml:space="preserve">Reconciliation infrastructure for India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2026-08-16T05:25:10.763Z</dcterms:created>
  <dcterms:modified xsi:type="dcterms:W3CDTF">2026-08-16T05:25:10.768Z</dcterms:modified>
</cp:coreProperties>
</file>

<file path=docProps/custom.xml><?xml version="1.0" encoding="utf-8"?>
<Properties xmlns="http://schemas.openxmlformats.org/officeDocument/2006/custom-properties" xmlns:vt="http://schemas.openxmlformats.org/officeDocument/2006/docPropsVTypes"/>
</file>