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pBdr>
          <w:bottom w:val="single" w:color="1E3A5F" w:sz="12" w:space="4"/>
        </w:pBdr>
        <w:spacing w:after="160" w:before="320"/>
      </w:pPr>
      <w:r>
        <w:rPr>
          <w:rFonts w:ascii="Helvetica" w:cs="Helvetica" w:eastAsia="Helvetica" w:hAnsi="Helvetica"/>
          <w:b/>
          <w:bCs/>
          <w:color w:val="1E3A5F"/>
          <w:sz w:val="36"/>
          <w:szCs w:val="36"/>
        </w:rPr>
        <w:t xml:space="preserve">Tax Audit Form 3CD — Clause-by-Clause Preparation Notes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shd w:fill="FFF4CE" w:color="auto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3253C"/>
                <w:sz w:val="22"/>
                <w:szCs w:val="22"/>
              </w:rPr>
              <w:t xml:space="preserve">Customise before sending. The five clauses below are the most evidence-hungry clauses in Form 3CD for AY [26-27]. Applicability of Clause 30C (specified domestic transactions) must be assessed on the entity’s facts — do not report if the threshold is not breached.</w:t>
            </w:r>
          </w:p>
        </w:tc>
      </w:tr>
    </w:tbl>
    <w:p>
      <w:pPr>
        <w:spacing w:after="20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p>
      <w:pPr>
        <w:pStyle w:val="Heading2"/>
        <w:spacing w:after="120" w:before="240"/>
      </w:pPr>
      <w:r>
        <w:rPr>
          <w:rFonts w:ascii="Helvetica" w:cs="Helvetica" w:eastAsia="Helvetica" w:hAnsi="Helvetica"/>
          <w:b/>
          <w:bCs/>
          <w:color w:val="1E3A5F"/>
          <w:sz w:val="28"/>
          <w:szCs w:val="28"/>
        </w:rPr>
        <w:t xml:space="preserve">Scope of these notes</w:t>
      </w:r>
    </w:p>
    <w:p>
      <w:pPr>
        <w:spacing w:after="12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Form 3CD accompanies the tax audit report in Form 3CA (for a company already required to audit under any other law) or Form 3CB (for others). This preparation note covers Clauses 21, 22, 27, 30C, and 34 — the clauses where preparer effort, evidence density, and auditor push-back are heaviest.</w:t>
      </w:r>
    </w:p>
    <w:p>
      <w:pPr>
        <w:spacing w:after="12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Every clause below is presented in three sub-sections: </w:t>
      </w:r>
      <w:r>
        <w:rPr>
          <w:rFonts w:ascii="Calibri" w:cs="Calibri" w:eastAsia="Calibri" w:hAnsi="Calibri"/>
          <w:b w:val="false"/>
          <w:bCs w:val="false"/>
          <w:i/>
          <w:iCs/>
          <w:color w:val="000000"/>
          <w:sz w:val="22"/>
          <w:szCs w:val="22"/>
        </w:rPr>
        <w:t xml:space="preserve">(a) what to prepare, (b) where the evidence lives in the folder tree, and (c) common auditor push-back with prepared responses.</w:t>
      </w:r>
    </w:p>
    <w:p>
      <w:pPr>
        <w:pStyle w:val="Heading2"/>
        <w:spacing w:after="120" w:before="240"/>
      </w:pPr>
      <w:r>
        <w:rPr>
          <w:rFonts w:ascii="Helvetica" w:cs="Helvetica" w:eastAsia="Helvetica" w:hAnsi="Helvetica"/>
          <w:b/>
          <w:bCs/>
          <w:color w:val="1E3A5F"/>
          <w:sz w:val="28"/>
          <w:szCs w:val="28"/>
        </w:rPr>
        <w:t xml:space="preserve">Clause 21 — Amounts debited to P&amp;L not deductible under the Act (Section 145A alignment)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What to prepare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Sub-clause (a) — Expenditure of a personal nature. Register of any expenses debited to P&amp;L that are personal in nature or capital in nature (rare in a company; more common in a firm or LLP audit). Nil-report common; still requires a memo of assessment.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Sub-clause (b)(i)-(iv) — Amounts inadmissible under Section 40(a). Break-up: (i) Section 40(a)(i) — payments to non-residents on which TDS not deducted or, having been deducted, not deposited within due date; (ii) Section 40(a)(ia) — 30 % of payments to residents on which TDS not deducted or not deposited; (iii) Section 40(a)(ib) — equalisation levy not deducted; (iv) Section 40(a)(iia) / (iib) / (iii) etc.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Sub-clause (c) — Amounts debited to P&amp;L being interest, salary, bonus, commission, or remuneration inadmissible under Section 36, 37, 40(b), 40(ba) — company-specific applicability.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Sub-clause (d) — Section 40A(3) / 40A(3A) — payments in cash &gt; Rs 10,000 to a single party in a day (Rs 35,000 for transporters). Cash payment register + exception evidence for genuine hardship cases.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Sub-clause (e) — Section 40A(7) — provision for gratuity to an unapproved fund.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Sub-clause (f) — Section 40A(9) — sum paid to non-statutory welfare funds.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Sub-clause (g) — Particulars of any liability of a contingent nature.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Sub-clause (h) — Section 14A — expenditure attributable to exempt income; Rule 8D computation.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Sub-clause (i) — Amount inadmissible under proviso to Section 36(1)(iii) — interest on borrowings capitalised.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Where the evidence lives</w:t>
      </w:r>
    </w:p>
    <w:p>
      <w:pPr>
        <w:spacing w:after="12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Primary folder: </w:t>
      </w:r>
      <w:r>
        <w:rPr>
          <w:rFonts w:ascii="Calibri" w:cs="Calibri" w:eastAsia="Calibri" w:hAnsi="Calibri"/>
          <w:b/>
          <w:bCs/>
          <w:i w:val="false"/>
          <w:iCs w:val="false"/>
          <w:color w:val="000000"/>
          <w:sz w:val="22"/>
          <w:szCs w:val="22"/>
        </w:rPr>
        <w:t xml:space="preserve">1_Compliance_Master/1.1_Statute_Anchors/ 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for the statute references, and </w:t>
      </w:r>
      <w:r>
        <w:rPr>
          <w:rFonts w:ascii="Calibri" w:cs="Calibri" w:eastAsia="Calibri" w:hAnsi="Calibri"/>
          <w:b/>
          <w:bCs/>
          <w:i w:val="false"/>
          <w:iCs w:val="false"/>
          <w:color w:val="000000"/>
          <w:sz w:val="22"/>
          <w:szCs w:val="22"/>
        </w:rPr>
        <w:t xml:space="preserve">3_TDS_Working_Papers/ 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for Section 40(a) TDS evidence. Section 14A / Rule 8D workings in </w:t>
      </w:r>
      <w:r>
        <w:rPr>
          <w:rFonts w:ascii="Calibri" w:cs="Calibri" w:eastAsia="Calibri" w:hAnsi="Calibri"/>
          <w:b/>
          <w:bCs/>
          <w:i w:val="false"/>
          <w:iCs w:val="false"/>
          <w:color w:val="000000"/>
          <w:sz w:val="22"/>
          <w:szCs w:val="22"/>
        </w:rPr>
        <w:t xml:space="preserve">8_Ind_AS_Adjustments/8.9_Section_14A_Rule_8D_workings.xlsx.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Common auditor push-back</w:t>
      </w:r>
    </w:p>
    <w:tbl>
      <w:tblPr>
        <w:tblW w:type="dxa" w:w="8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200"/>
        <w:gridCol w:w="4200"/>
      </w:tblGrid>
      <w:tr>
        <w:trPr>
          <w:tblHeader/>
        </w:trPr>
        <w:tc>
          <w:tcPr>
            <w:tcW w:type="dxa" w:w="42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Push-back</w:t>
            </w:r>
          </w:p>
        </w:tc>
        <w:tc>
          <w:tcPr>
            <w:tcW w:type="dxa" w:w="42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Prepared response</w:t>
            </w:r>
          </w:p>
        </w:tc>
      </w:tr>
      <w:tr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TDS deposit date evidence per deductee for Section 40(a)(ia) purposes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Section-wise TDS deposit register cross-linked to challan; extract of Form 26Q filed within due date</w:t>
            </w:r>
          </w:p>
        </w:tc>
      </w:tr>
      <w:tr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Rule 8D disallowance not computed on best interpretation of prevailing case law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Section 14A / Rule 8D working paper with Board-approved position and case-law annexure</w:t>
            </w:r>
          </w:p>
        </w:tc>
      </w:tr>
      <w:tr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Cash payment &gt; Rs 10,000 exceptions not evidenced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Cash disbursement register with reason code and exception approval from Financial Controller</w:t>
            </w:r>
          </w:p>
        </w:tc>
      </w:tr>
    </w:tbl>
    <w:p>
      <w:pPr>
        <w:pStyle w:val="Heading2"/>
        <w:spacing w:after="120" w:before="240"/>
      </w:pPr>
      <w:r>
        <w:rPr>
          <w:rFonts w:ascii="Helvetica" w:cs="Helvetica" w:eastAsia="Helvetica" w:hAnsi="Helvetica"/>
          <w:b/>
          <w:bCs/>
          <w:color w:val="1E3A5F"/>
          <w:sz w:val="28"/>
          <w:szCs w:val="28"/>
        </w:rPr>
        <w:t xml:space="preserve">Clause 22 — Section 43B(h) MSME payments (largest evidence requirement)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What to prepare</w:t>
      </w:r>
    </w:p>
    <w:p>
      <w:pPr>
        <w:spacing w:after="12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This is the highest-volume, highest-scrutiny clause for FY [25-26]. It requires the tax auditor to report the amount of interest inadmissible under Section 23 of the MSMED Act 2006 read with Section 43B(h) of the Income-tax Act 1961.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Udyam-verified vendor master — every vendor’s Micro / Small / Medium classification as at 31 March, sourced from the Udyam Portal, not vendor self-declaration.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AP ageing schedule filtered to Micro and Small vendors only. Ageing calculated from the "appointed day" under Section 2(b) of MSMED Act.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Written agreement register — every vendor with which a written 45-day payment terms agreement is in force, with the agreement pre-dating each supply.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Disallowance schedule for the amounts unpaid at year-end beyond the applicable timeline (15 days without written agreement; 45 days with written agreement subject to statutory ceiling).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MSMED interest schedule under Section 16 — three times the bank rate, compounded monthly, from the appointed day. This interest is disallowed under Section 23 and reported here.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Payment-in-year memo — amounts disallowed in a prior year that were paid in FY [25-26], claimed as a deduction under the proviso to Section 43B.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Where the evidence lives</w:t>
      </w:r>
    </w:p>
    <w:p>
      <w:pPr>
        <w:spacing w:after="12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Entire </w:t>
      </w:r>
      <w:r>
        <w:rPr>
          <w:rFonts w:ascii="Calibri" w:cs="Calibri" w:eastAsia="Calibri" w:hAnsi="Calibri"/>
          <w:b/>
          <w:bCs/>
          <w:i w:val="false"/>
          <w:iCs w:val="false"/>
          <w:color w:val="000000"/>
          <w:sz w:val="22"/>
          <w:szCs w:val="22"/>
        </w:rPr>
        <w:t xml:space="preserve">6_MSME_Section_43Bh/ 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folder — Udyam register, AP ageing, disallowance schedule, MSMED interest schedule, and written agreements are all indexed there.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Common auditor push-back</w:t>
      </w:r>
    </w:p>
    <w:tbl>
      <w:tblPr>
        <w:tblW w:type="dxa" w:w="8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200"/>
        <w:gridCol w:w="4200"/>
      </w:tblGrid>
      <w:tr>
        <w:trPr>
          <w:tblHeader/>
        </w:trPr>
        <w:tc>
          <w:tcPr>
            <w:tcW w:type="dxa" w:w="42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Push-back</w:t>
            </w:r>
          </w:p>
        </w:tc>
        <w:tc>
          <w:tcPr>
            <w:tcW w:type="dxa" w:w="42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Prepared response</w:t>
            </w:r>
          </w:p>
        </w:tc>
      </w:tr>
      <w:tr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Udyam status of vendors not evidenced from the Udyam Portal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Udyam verification register with portal print-out for every Micro / Small vendor</w:t>
            </w:r>
          </w:p>
        </w:tc>
      </w:tr>
      <w:tr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Ageing calculated from invoice date rather than from the appointed day under Section 2(b)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Recalculated ageing with appointed-day column and cross-reference to Section 2(b) definition</w:t>
            </w:r>
          </w:p>
        </w:tc>
      </w:tr>
      <w:tr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Written agreements dated after the supply — auditor treats them as ineffective for 45-day extension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Agreement date register with pre-supply agreement flag; where agreement post-dates, 15-day default applied</w:t>
            </w:r>
          </w:p>
        </w:tc>
      </w:tr>
      <w:tr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Deduction claim in current year for prior-year disallowance not evidenced against payment date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Prior-year disallowance-to-payment reconciliation with bank statement extract for each payment</w:t>
            </w:r>
          </w:p>
        </w:tc>
      </w:tr>
    </w:tbl>
    <w:p>
      <w:pPr>
        <w:pStyle w:val="Heading2"/>
        <w:spacing w:after="120" w:before="240"/>
      </w:pPr>
      <w:r>
        <w:rPr>
          <w:rFonts w:ascii="Helvetica" w:cs="Helvetica" w:eastAsia="Helvetica" w:hAnsi="Helvetica"/>
          <w:b/>
          <w:bCs/>
          <w:color w:val="1E3A5F"/>
          <w:sz w:val="28"/>
          <w:szCs w:val="28"/>
        </w:rPr>
        <w:t xml:space="preserve">Clause 27 — TDS compliance across all Section 194 variants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What to prepare</w:t>
      </w:r>
    </w:p>
    <w:p>
      <w:pPr>
        <w:spacing w:after="12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Clause 27 requires reporting of TDS deducted, deposited, and any short deduction or short deposit, section-wise. For a typical company, the following variants apply: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Section 194C — contractor payments; TDS at 1 % (individual / HUF) or 2 % (others).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Section 194J — professional or technical services; TDS at 2 % (technical) or 10 % (professional).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Section 194H — commission or brokerage; TDS at 2 % (post-Finance Act 2024).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Section 194I — rent; TDS at 2 % (plant and machinery) or 10 % (land, building, furniture, fittings).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Section 194Q — purchase of goods (buyer’s TDS); TDS at 0.1 % on aggregate purchase value above Rs 50 lakh per seller per FY.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Section 194O — e-commerce operator obligation (applicable if the Company is an e-commerce operator).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Preparation checklist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Section-wise summary showing (i) amount on which TDS deductible, (ii) TDS deducted, (iii) TDS deposited, (iv) short deduction, (v) short deposit, (vi) interest under Section 201(1A).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Form 26Q quarterly filing evidence with acknowledgement receipt; Form 168 issuance evidence.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Vendor 15G / 15H register where applicable.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Non-resident payments — Form 15CA / 15CB register and DTAA benefit evidence.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Reconciliation of TDS payable in the books to TDS deposited via challan — nil residual balance expected.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Where the evidence lives</w:t>
      </w:r>
    </w:p>
    <w:p>
      <w:pPr>
        <w:spacing w:after="12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Entire </w:t>
      </w:r>
      <w:r>
        <w:rPr>
          <w:rFonts w:ascii="Calibri" w:cs="Calibri" w:eastAsia="Calibri" w:hAnsi="Calibri"/>
          <w:b/>
          <w:bCs/>
          <w:i w:val="false"/>
          <w:iCs w:val="false"/>
          <w:color w:val="000000"/>
          <w:sz w:val="22"/>
          <w:szCs w:val="22"/>
        </w:rPr>
        <w:t xml:space="preserve">3_TDS_Working_Papers/ 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folder, particularly 3.6_Section_194_variant_wise_summary.xlsx and the Form 168 quarterly folder.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Common auditor push-back</w:t>
      </w:r>
    </w:p>
    <w:tbl>
      <w:tblPr>
        <w:tblW w:type="dxa" w:w="8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200"/>
        <w:gridCol w:w="4200"/>
      </w:tblGrid>
      <w:tr>
        <w:trPr>
          <w:tblHeader/>
        </w:trPr>
        <w:tc>
          <w:tcPr>
            <w:tcW w:type="dxa" w:w="42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Push-back</w:t>
            </w:r>
          </w:p>
        </w:tc>
        <w:tc>
          <w:tcPr>
            <w:tcW w:type="dxa" w:w="42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Prepared response</w:t>
            </w:r>
          </w:p>
        </w:tc>
      </w:tr>
      <w:tr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Section 194J vs 194C classification for a specific vendor challenged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Contract copy + scope memo + classification note referencing CBDT circulars</w:t>
            </w:r>
          </w:p>
        </w:tc>
      </w:tr>
      <w:tr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TDS rate applied at lower rate on the basis of a Section 197 certificate not on record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Section 197 certificate register with expiry date; vendor-wise applicability memo</w:t>
            </w:r>
          </w:p>
        </w:tc>
      </w:tr>
      <w:tr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Interest under Section 201(1A) for delayed deposit not computed at 1.5 % per month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Delay register with day-count and interest recomputed at 1.5 % per month; delta paid where applicable</w:t>
            </w:r>
          </w:p>
        </w:tc>
      </w:tr>
    </w:tbl>
    <w:p>
      <w:pPr>
        <w:pStyle w:val="Heading2"/>
        <w:spacing w:after="120" w:before="240"/>
      </w:pPr>
      <w:r>
        <w:rPr>
          <w:rFonts w:ascii="Helvetica" w:cs="Helvetica" w:eastAsia="Helvetica" w:hAnsi="Helvetica"/>
          <w:b/>
          <w:bCs/>
          <w:color w:val="1E3A5F"/>
          <w:sz w:val="28"/>
          <w:szCs w:val="28"/>
        </w:rPr>
        <w:t xml:space="preserve">Clause 30C — Specified Domestic Transactions (Section 92BA)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What to prepare</w:t>
      </w:r>
    </w:p>
    <w:p>
      <w:pPr>
        <w:spacing w:after="12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Clause 30C requires reporting of specified domestic transactions if the aggregate value of such transactions exceeds Rs 20 crore in the financial year. First test applicability; if not applicable, report N/A with a supporting note.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Specified domestic transactions list — transactions of the nature referred to in Section 92BA including Section 80A, Section 80-IA(8) inter-unit transfer, Section 80-IA(10) close-connection transactions, and any other transaction as may be prescribed.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Value aggregation working — sum of the SDT value across all counterparties for the financial year.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Applicability memo — either "does not apply, aggregate value Rs [x] crore below Rs 20 crore threshold" or "applies, Form 3CEB filed on [dd-mmm-yyyy]".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If applicable, Form 3CEB filed with the accountant’s certificate; transfer-pricing documentation retained under Rule 10D.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Arm’s-length pricing (ALP) evidence — most-appropriate-method application memo (CUP, RPM, CPM, PSM, TNMM), benchmarking analysis, functional analysis, comparability adjustments.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Where the evidence lives</w:t>
      </w:r>
    </w:p>
    <w:p>
      <w:pPr>
        <w:spacing w:after="12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For applicable entities, </w:t>
      </w:r>
      <w:r>
        <w:rPr>
          <w:rFonts w:ascii="Calibri" w:cs="Calibri" w:eastAsia="Calibri" w:hAnsi="Calibri"/>
          <w:b/>
          <w:bCs/>
          <w:i w:val="false"/>
          <w:iCs w:val="false"/>
          <w:color w:val="000000"/>
          <w:sz w:val="22"/>
          <w:szCs w:val="22"/>
        </w:rPr>
        <w:t xml:space="preserve">7_Related_Party/7.4_SDT_Section_92BA_documentation/ 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holds Form 3CEB, the transfer-pricing report, and the benchmarking study. If not applicable, the applicability memo is placed alongside as a nil-return marker.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Common auditor push-back</w:t>
      </w:r>
    </w:p>
    <w:tbl>
      <w:tblPr>
        <w:tblW w:type="dxa" w:w="8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200"/>
        <w:gridCol w:w="4200"/>
      </w:tblGrid>
      <w:tr>
        <w:trPr>
          <w:tblHeader/>
        </w:trPr>
        <w:tc>
          <w:tcPr>
            <w:tcW w:type="dxa" w:w="42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Push-back</w:t>
            </w:r>
          </w:p>
        </w:tc>
        <w:tc>
          <w:tcPr>
            <w:tcW w:type="dxa" w:w="42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Prepared response</w:t>
            </w:r>
          </w:p>
        </w:tc>
      </w:tr>
      <w:tr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Section 92BA applicability triggered by close-connection transactions under Section 80-IA(10) missed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Close-connection register with a periodic review sign-off; scenario memo for tax holiday units</w:t>
            </w:r>
          </w:p>
        </w:tc>
      </w:tr>
      <w:tr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Arm’s-length pricing memo relies on a stale benchmarking study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Annual refresh of benchmarking with current-year comparables and functional analysis</w:t>
            </w:r>
          </w:p>
        </w:tc>
      </w:tr>
      <w:tr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Nil applicability declared without an assessment memo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Aggregate SDT value working paper + Board-approved applicability memo on file</w:t>
            </w:r>
          </w:p>
        </w:tc>
      </w:tr>
    </w:tbl>
    <w:p>
      <w:pPr>
        <w:pStyle w:val="Heading2"/>
        <w:spacing w:after="120" w:before="240"/>
      </w:pPr>
      <w:r>
        <w:rPr>
          <w:rFonts w:ascii="Helvetica" w:cs="Helvetica" w:eastAsia="Helvetica" w:hAnsi="Helvetica"/>
          <w:b/>
          <w:bCs/>
          <w:color w:val="1E3A5F"/>
          <w:sz w:val="28"/>
          <w:szCs w:val="28"/>
        </w:rPr>
        <w:t xml:space="preserve">Clause 34 — TDS deducted at source — detail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What to prepare</w:t>
      </w:r>
    </w:p>
    <w:p>
      <w:pPr>
        <w:spacing w:after="12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Clause 34(a) requires reporting whether the Company is required to deduct TDS under Chapter XVII-B; if yes, section-wise details, including whether TDS statements have been furnished within the prescribed time.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Section-wise TDS deduction register — nature of payment, gross amount, TDS deductible, TDS deducted, TDS deposited, and delay if any.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Quarterly TDS statement filing evidence — Form 26Q for residents and Form 27Q for non-residents, with acknowledgement receipt and filing date.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Late filing register — where filing exceeded due date, Section 234E late fee computation at Rs 200 per day (subject to the TDS amount ceiling).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Correction statement register — where corrections were filed under Section 200(3), the correction reason and filing date.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Clause 34(b) — TDS collected but not deposited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Any TDS deducted but not deposited by the due date — nil-report expected for well-run compliance. If any, the interest under Section 201(1A) at 1.5 % per month has been paid and the deposit made.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Clause 34(c) — Statement of TDS default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Any TCS collected but not deposited by the due date — nil-report where applicable.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Section 40(a)(ia) disallowance reconciliation — cross-linked to Clause 21(b)(ii).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Where the evidence lives</w:t>
      </w:r>
    </w:p>
    <w:p>
      <w:pPr>
        <w:spacing w:after="12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Same folder as Clause 27 — </w:t>
      </w:r>
      <w:r>
        <w:rPr>
          <w:rFonts w:ascii="Calibri" w:cs="Calibri" w:eastAsia="Calibri" w:hAnsi="Calibri"/>
          <w:b/>
          <w:bCs/>
          <w:i w:val="false"/>
          <w:iCs w:val="false"/>
          <w:color w:val="000000"/>
          <w:sz w:val="22"/>
          <w:szCs w:val="22"/>
        </w:rPr>
        <w:t xml:space="preserve">3_TDS_Working_Papers/</w:t>
      </w: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— plus 3.3_Section_200A_Demand_Register.xlsx for any assessment-year demands.</w:t>
      </w:r>
    </w:p>
    <w:p>
      <w:pPr>
        <w:pStyle w:val="Heading3"/>
        <w:spacing w:after="100" w:before="200"/>
      </w:pPr>
      <w:r>
        <w:rPr>
          <w:rFonts w:ascii="Helvetica" w:cs="Helvetica" w:eastAsia="Helvetica" w:hAnsi="Helvetica"/>
          <w:b/>
          <w:bCs/>
          <w:color w:val="13253C"/>
          <w:sz w:val="24"/>
          <w:szCs w:val="24"/>
        </w:rPr>
        <w:t xml:space="preserve">Common auditor push-back</w:t>
      </w:r>
    </w:p>
    <w:tbl>
      <w:tblPr>
        <w:tblW w:type="dxa" w:w="8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200"/>
        <w:gridCol w:w="4200"/>
      </w:tblGrid>
      <w:tr>
        <w:trPr>
          <w:tblHeader/>
        </w:trPr>
        <w:tc>
          <w:tcPr>
            <w:tcW w:type="dxa" w:w="42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Push-back</w:t>
            </w:r>
          </w:p>
        </w:tc>
        <w:tc>
          <w:tcPr>
            <w:tcW w:type="dxa" w:w="4200"/>
            <w:shd w:fill="1E3A5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Helvetica" w:cs="Helvetica" w:eastAsia="Helvetica" w:hAnsi="Helvetica"/>
                <w:b/>
                <w:bCs/>
                <w:color w:val="FFFFFF"/>
                <w:sz w:val="20"/>
                <w:szCs w:val="20"/>
              </w:rPr>
              <w:t xml:space="preserve">Prepared response</w:t>
            </w:r>
          </w:p>
        </w:tc>
      </w:tr>
      <w:tr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Form 26Q quarterly filing evidence not indexed against every quarter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Form 26Q filing register with Q1 to Q4 acknowledgements and filing dates</w:t>
            </w:r>
          </w:p>
        </w:tc>
      </w:tr>
      <w:tr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Section 234E late fee not paid for late Form 26Q filing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Late fee register with challan evidence for every late-filed quarter</w:t>
            </w:r>
          </w:p>
        </w:tc>
      </w:tr>
      <w:tr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Form 27Q non-resident payments — DTAA benefit not evidenced</w:t>
            </w:r>
          </w:p>
        </w:tc>
        <w:tc>
          <w:tcPr>
            <w:tcW w:type="dxa" w:w="4200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20"/>
                <w:szCs w:val="20"/>
              </w:rPr>
              <w:t xml:space="preserve">Form 15CA / 15CB register with tax residency certificate and no-PE declaration</w:t>
            </w:r>
          </w:p>
        </w:tc>
      </w:tr>
    </w:tbl>
    <w:p>
      <w:pPr>
        <w:pStyle w:val="Heading2"/>
        <w:spacing w:after="120" w:before="240"/>
      </w:pPr>
      <w:r>
        <w:rPr>
          <w:rFonts w:ascii="Helvetica" w:cs="Helvetica" w:eastAsia="Helvetica" w:hAnsi="Helvetica"/>
          <w:b/>
          <w:bCs/>
          <w:color w:val="1E3A5F"/>
          <w:sz w:val="28"/>
          <w:szCs w:val="28"/>
        </w:rPr>
        <w:t xml:space="preserve">Cross-cutting preparation notes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Version discipline — every Form 3CD working paper carries a version number; the version filed with the return is marked _FINAL and locked.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Auditor comfort walk-through — schedule a Clause-21 / Clause-22 / Clause-27 walk-through with the tax auditor in early Q4, not after the observations are formalised.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Digital signature — Form 3CD is filed digitally by the tax auditor; the Company’s role is to place all supporting evidence in the folder tree and countersign the DoA-approved final version.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>Retention — tax audit working papers are retained for 8 years from the end of the assessment year (Section 44AA read with Rule 6F).</w:t>
      </w:r>
    </w:p>
    <w:p>
      <w:pPr>
        <w:spacing w:after="160" w:before="0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000000"/>
          <w:sz w:val="22"/>
          <w:szCs w:val="22"/>
        </w:rPr>
        <w:t xml:space="preserve"/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shd w:fill="FFF4CE" w:color="auto" w:val="clear"/>
            <w:tcMar>
              <w:top w:type="dxa" w:w="160"/>
              <w:left w:type="dxa" w:w="200"/>
              <w:bottom w:type="dxa" w:w="160"/>
              <w:right w:type="dxa" w:w="20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3253C"/>
                <w:sz w:val="22"/>
                <w:szCs w:val="22"/>
              </w:rPr>
              <w:t xml:space="preserve">These preparation notes do not replace professional judgement. The Company’s tax auditor is the final authority on every 3CD clause. Use this document to organise evidence and pre-empt push-back; use the tax auditor’s working paper as the filed record.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4A4A4A"/>
        <w:sz w:val="18"/>
        <w:szCs w:val="18"/>
      </w:rPr>
      <w:t xml:space="preserve">Illustrative template — customise before sending.  Terra Insight Editorial Team  |  Version 1.0  |  2026-08-16  |  Page </w:t>
    </w:r>
    <w:r>
      <w:rPr>
        <w:rFonts w:ascii="Calibri" w:cs="Calibri" w:eastAsia="Calibri" w:hAnsi="Calibri"/>
        <w:color w:val="4A4A4A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4A4A4A"/>
        <w:sz w:val="18"/>
        <w:szCs w:val="18"/>
      </w:rPr>
      <w:t xml:space="preserve"> of </w:t>
    </w:r>
    <w:r>
      <w:rPr>
        <w:rFonts w:ascii="Calibri" w:cs="Calibri" w:eastAsia="Calibri" w:hAnsi="Calibri"/>
        <w:color w:val="4A4A4A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6DEE8" w:sz="8" w:space="4"/>
      </w:pBdr>
    </w:pPr>
    <w:r>
      <w:rPr>
        <w:rFonts w:ascii="Helvetica" w:cs="Helvetica" w:eastAsia="Helvetica" w:hAnsi="Helvetica"/>
        <w:b/>
        <w:bCs/>
        <w:color w:val="1E3A5F"/>
        <w:sz w:val="20"/>
        <w:szCs w:val="20"/>
      </w:rPr>
      <w:t xml:space="preserve">Terra Insight</w:t>
    </w:r>
    <w:r>
      <w:rPr>
        <w:rFonts w:ascii="Helvetica" w:cs="Helvetica" w:eastAsia="Helvetica" w:hAnsi="Helvetica"/>
        <w:color w:val="4A4A4A"/>
        <w:sz w:val="20"/>
        <w:szCs w:val="20"/>
      </w:rPr>
      <w:t xml:space="preserve">  |  </w:t>
    </w:r>
    <w:r>
      <w:rPr>
        <w:rFonts w:ascii="Helvetica" w:cs="Helvetica" w:eastAsia="Helvetica" w:hAnsi="Helvetica"/>
        <w:color w:val="4A4A4A"/>
        <w:sz w:val="20"/>
        <w:szCs w:val="20"/>
      </w:rPr>
      <w:t xml:space="preserve">05 — Tax Audit Form 3CD Preparation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260"/>
      </w:pPr>
    </w:lvl>
    <w:lvl w:ilvl="1" w15:tentative="1">
      <w:start w:val="1"/>
      <w:numFmt w:val="bullet"/>
      <w:lvlText w:val="◦"/>
      <w:lvlJc w:val="left"/>
      <w:pPr>
        <w:ind w:left="720" w:hanging="260"/>
      </w:pPr>
    </w:lvl>
    <w:lvl w:ilvl="2" w15:tentative="1">
      <w:start w:val="1"/>
      <w:numFmt w:val="bullet"/>
      <w:lvlText w:val="▪"/>
      <w:lvlJc w:val="left"/>
      <w:pPr>
        <w:ind w:left="108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Normal">
    <w:name w:val="Normal"/>
    <w:pPr>
      <w:spacing w:after="120" w:line="300"/>
    </w:pPr>
    <w:rPr>
      <w:rFonts w:ascii="Calibri" w:cs="Calibri" w:eastAsia="Calibri" w:hAnsi="Calibri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 — Tax Audit Form 3CD Preparation</dc:title>
  <dc:creator>Terra Insight Editorial Team</dc:creator>
  <cp:lastModifiedBy>Un-named</cp:lastModifiedBy>
  <cp:revision>1</cp:revision>
  <dcterms:created xsi:type="dcterms:W3CDTF">2026-08-23T15:14:34.174Z</dcterms:created>
  <dcterms:modified xsi:type="dcterms:W3CDTF">2026-08-23T15:14:34.182Z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