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Bdr>
          <w:bottom w:val="single" w:color="1E3A5F" w:sz="12" w:space="4"/>
        </w:pBdr>
        <w:spacing w:after="160" w:before="320"/>
      </w:pPr>
      <w:r>
        <w:rPr>
          <w:rFonts w:ascii="Helvetica" w:cs="Helvetica" w:eastAsia="Helvetica" w:hAnsi="Helvetica"/>
          <w:b/>
          <w:bCs/>
          <w:color w:val="1E3A5F"/>
          <w:sz w:val="36"/>
          <w:szCs w:val="36"/>
        </w:rPr>
        <w:t xml:space="preserve">Section 143(3)(i) — ICFR Control Evidence Checklist</w:t>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shd w:fill="FFF4CE" w:color="auto" w:val="clear"/>
            <w:tcMar>
              <w:top w:type="dxa" w:w="160"/>
              <w:left w:type="dxa" w:w="200"/>
              <w:bottom w:type="dxa" w:w="160"/>
              <w:right w:type="dxa" w:w="200"/>
            </w:tcMar>
          </w:tcPr>
          <w:p>
            <w:r>
              <w:rPr>
                <w:rFonts w:ascii="Calibri" w:cs="Calibri" w:eastAsia="Calibri" w:hAnsi="Calibri"/>
                <w:b/>
                <w:bCs/>
                <w:color w:val="13253C"/>
                <w:sz w:val="22"/>
                <w:szCs w:val="22"/>
              </w:rPr>
              <w:t xml:space="preserve">Customise before sending. Control owners, ERP-level configurations, and frequency cadences must reflect [COMPANY NAME]’s actual environment. The 25 controls below are the operating-effectiveness baseline; extend for entity-specific risks — do not shrink.</w:t>
            </w:r>
          </w:p>
        </w:tc>
      </w:tr>
    </w:tbl>
    <w:p>
      <w:pPr>
        <w:spacing w:after="120" w:before="0"/>
      </w:pPr>
      <w:r>
        <w:rPr>
          <w:rFonts w:ascii="Calibri" w:cs="Calibri" w:eastAsia="Calibri" w:hAnsi="Calibri"/>
          <w:b w:val="false"/>
          <w:bCs w:val="false"/>
          <w:i w:val="false"/>
          <w:iCs w:val="false"/>
          <w:color w:val="000000"/>
          <w:sz w:val="22"/>
          <w:szCs w:val="22"/>
        </w:rPr>
        <w:t xml:space="preserve"/>
      </w:r>
    </w:p>
    <w:p>
      <w:pPr>
        <w:pStyle w:val="Heading2"/>
        <w:spacing w:after="120" w:before="240"/>
      </w:pPr>
      <w:r>
        <w:rPr>
          <w:rFonts w:ascii="Helvetica" w:cs="Helvetica" w:eastAsia="Helvetica" w:hAnsi="Helvetica"/>
          <w:b/>
          <w:bCs/>
          <w:color w:val="1E3A5F"/>
          <w:sz w:val="28"/>
          <w:szCs w:val="28"/>
        </w:rPr>
        <w:t xml:space="preserve">Scope</w:t>
      </w:r>
    </w:p>
    <w:p>
      <w:pPr>
        <w:spacing w:after="120" w:before="0"/>
      </w:pPr>
      <w:r>
        <w:rPr>
          <w:rFonts w:ascii="Calibri" w:cs="Calibri" w:eastAsia="Calibri" w:hAnsi="Calibri"/>
          <w:b w:val="false"/>
          <w:bCs w:val="false"/>
          <w:i w:val="false"/>
          <w:iCs w:val="false"/>
          <w:color w:val="000000"/>
          <w:sz w:val="22"/>
          <w:szCs w:val="22"/>
        </w:rPr>
        <w:t xml:space="preserve">Section 143(3)(i) of the Companies Act 2013 requires the statutory auditor to report on whether the Company has an adequate internal financial controls system, and its operating effectiveness. This checklist is the practical test file: five control categories, roughly 25 controls, each with description, frequency, owner, test evidence, last-tested date, and result.</w:t>
      </w:r>
    </w:p>
    <w:p>
      <w:pPr>
        <w:spacing w:after="120" w:before="0"/>
      </w:pPr>
      <w:r>
        <w:rPr>
          <w:rFonts w:ascii="Calibri" w:cs="Calibri" w:eastAsia="Calibri" w:hAnsi="Calibri"/>
          <w:b w:val="false"/>
          <w:bCs w:val="false"/>
          <w:i w:val="false"/>
          <w:iCs w:val="false"/>
          <w:color w:val="000000"/>
          <w:sz w:val="22"/>
          <w:szCs w:val="22"/>
        </w:rPr>
        <w:t xml:space="preserve">The five categories cover: (a) entity-level controls, (b) revenue and receivables, (c) procurement to payables, (d) treasury, cash, and forex, and (e) IT general controls. Where a control is process-embedded and automated, note "automated" in the frequency column and evidence with the configuration record plus a sample of transactions.</w:t>
      </w:r>
    </w:p>
    <w:p>
      <w:pPr>
        <w:pStyle w:val="Heading2"/>
        <w:spacing w:after="120" w:before="240"/>
      </w:pPr>
      <w:r>
        <w:rPr>
          <w:rFonts w:ascii="Helvetica" w:cs="Helvetica" w:eastAsia="Helvetica" w:hAnsi="Helvetica"/>
          <w:b/>
          <w:bCs/>
          <w:color w:val="1E3A5F"/>
          <w:sz w:val="28"/>
          <w:szCs w:val="28"/>
        </w:rPr>
        <w:t xml:space="preserve">How to complete each row</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Ref — retain the pre-numbered reference (ELC-01, REV-01, and so on). Do not renumber; the reference is used in the auditor’s test-of-controls (ToC) paper trail.</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Test evidence — describe the concrete artefact (screen shot, sample count, exception log). Vague phrases such as "reviewed by management" fail Section 143(3)(i) walkthroughs.</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Last tested — the date the control operator or internal audit last independently tested this control in the reporting period.</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Result — one of Effective, Ineffective, or Not tested. If Ineffective, cross-link to the deficiency-remediation register at 9.5_Deficiency_remediation_register.xlsx.</w:t>
      </w:r>
    </w:p>
    <w:p>
      <w:pPr>
        <w:pStyle w:val="Heading2"/>
        <w:spacing w:after="120" w:before="240"/>
      </w:pPr>
      <w:r>
        <w:rPr>
          <w:rFonts w:ascii="Helvetica" w:cs="Helvetica" w:eastAsia="Helvetica" w:hAnsi="Helvetica"/>
          <w:b/>
          <w:bCs/>
          <w:color w:val="1E3A5F"/>
          <w:sz w:val="28"/>
          <w:szCs w:val="28"/>
        </w:rPr>
        <w:t xml:space="preserve">A. Entity-level controls (ELC)</w:t>
      </w:r>
    </w:p>
    <w:tbl>
      <w:tblPr>
        <w:tblW w:type="dxa" w:w="12700"/>
        <w:tblBorders>
          <w:top w:val="single" w:color="auto" w:sz="4"/>
          <w:left w:val="single" w:color="auto" w:sz="4"/>
          <w:bottom w:val="single" w:color="auto" w:sz="4"/>
          <w:right w:val="single" w:color="auto" w:sz="4"/>
          <w:insideH w:val="single" w:color="auto" w:sz="4"/>
          <w:insideV w:val="single" w:color="auto" w:sz="4"/>
        </w:tblBorders>
      </w:tblPr>
      <w:tblGrid>
        <w:gridCol w:w="900"/>
        <w:gridCol w:w="3400"/>
        <w:gridCol w:w="1800"/>
        <w:gridCol w:w="1400"/>
        <w:gridCol w:w="2400"/>
        <w:gridCol w:w="1400"/>
        <w:gridCol w:w="1400"/>
      </w:tblGrid>
      <w:tr>
        <w:trPr>
          <w:tblHeader/>
        </w:trPr>
        <w:tc>
          <w:tcPr>
            <w:tcW w:type="dxa" w:w="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Ref</w:t>
            </w:r>
          </w:p>
        </w:tc>
        <w:tc>
          <w:tcPr>
            <w:tcW w:type="dxa" w:w="3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Control description</w:t>
            </w:r>
          </w:p>
        </w:tc>
        <w:tc>
          <w:tcPr>
            <w:tcW w:type="dxa" w:w="18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Frequency</w:t>
            </w:r>
          </w:p>
        </w:tc>
        <w:tc>
          <w:tcPr>
            <w:tcW w:type="dxa" w:w="1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Owner</w:t>
            </w:r>
          </w:p>
        </w:tc>
        <w:tc>
          <w:tcPr>
            <w:tcW w:type="dxa" w:w="2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Test evidence</w:t>
            </w:r>
          </w:p>
        </w:tc>
        <w:tc>
          <w:tcPr>
            <w:tcW w:type="dxa" w:w="1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Last tested</w:t>
            </w:r>
          </w:p>
        </w:tc>
        <w:tc>
          <w:tcPr>
            <w:tcW w:type="dxa" w:w="1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Result</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ELC-01</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Board of Directors and Audit Committee charters approved, reviewed annually, and minutes available for every meeting</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Annual charter review; quarterly meetings</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Company Secretary</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Signed charter; Board and Audit Committee minutes; attendance register</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ELC-02</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Code of Conduct and Whistleblower Policy issued, acknowledged annually by all employees, and any complaints tabled at the Audit Committee</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Annual acknowledgement; complaints reviewed within 30 days</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Chief Compliance Officer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Acknowledgement register; whistleblower log with disposition; Audit Committee minute references</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ELC-03</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Delegation of Authority (DoA) matrix formally approved, applied in ERP for financial authorisations, reviewed annually for role changes</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Annual review; ERP configuration change controlled</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CFO</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Signed DoA; ERP screen shot of approval hierarchy; change-management ticket log</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ELC-04</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Risk Management Committee identifies enterprise risks quarterly, mitigation owners assigned, tracked to closure</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Quarterly risk register review</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Chief Risk Officer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Enterprise risk register; committee minutes; mitigation-tracker export</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ELC-05</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Internal Audit function is independent, reports functionally to the Audit Committee, and its annual plan is approved by the committee</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Annual plan approval; quarterly reports</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Head of Internal Audit</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Approved IA plan; quarterly IA reports; committee minute recording report consideration</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bl>
    <w:p>
      <w:pPr>
        <w:pStyle w:val="Heading2"/>
        <w:spacing w:after="120" w:before="240"/>
      </w:pPr>
      <w:r>
        <w:rPr>
          <w:rFonts w:ascii="Helvetica" w:cs="Helvetica" w:eastAsia="Helvetica" w:hAnsi="Helvetica"/>
          <w:b/>
          <w:bCs/>
          <w:color w:val="1E3A5F"/>
          <w:sz w:val="28"/>
          <w:szCs w:val="28"/>
        </w:rPr>
        <w:t xml:space="preserve">B. Revenue and receivables (REV)</w:t>
      </w:r>
    </w:p>
    <w:tbl>
      <w:tblPr>
        <w:tblW w:type="dxa" w:w="12700"/>
        <w:tblBorders>
          <w:top w:val="single" w:color="auto" w:sz="4"/>
          <w:left w:val="single" w:color="auto" w:sz="4"/>
          <w:bottom w:val="single" w:color="auto" w:sz="4"/>
          <w:right w:val="single" w:color="auto" w:sz="4"/>
          <w:insideH w:val="single" w:color="auto" w:sz="4"/>
          <w:insideV w:val="single" w:color="auto" w:sz="4"/>
        </w:tblBorders>
      </w:tblPr>
      <w:tblGrid>
        <w:gridCol w:w="900"/>
        <w:gridCol w:w="3400"/>
        <w:gridCol w:w="1800"/>
        <w:gridCol w:w="1400"/>
        <w:gridCol w:w="2400"/>
        <w:gridCol w:w="1400"/>
        <w:gridCol w:w="1400"/>
      </w:tblGrid>
      <w:tr>
        <w:trPr>
          <w:tblHeader/>
        </w:trPr>
        <w:tc>
          <w:tcPr>
            <w:tcW w:type="dxa" w:w="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Ref</w:t>
            </w:r>
          </w:p>
        </w:tc>
        <w:tc>
          <w:tcPr>
            <w:tcW w:type="dxa" w:w="3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Control description</w:t>
            </w:r>
          </w:p>
        </w:tc>
        <w:tc>
          <w:tcPr>
            <w:tcW w:type="dxa" w:w="18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Frequency</w:t>
            </w:r>
          </w:p>
        </w:tc>
        <w:tc>
          <w:tcPr>
            <w:tcW w:type="dxa" w:w="1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Owner</w:t>
            </w:r>
          </w:p>
        </w:tc>
        <w:tc>
          <w:tcPr>
            <w:tcW w:type="dxa" w:w="2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Test evidence</w:t>
            </w:r>
          </w:p>
        </w:tc>
        <w:tc>
          <w:tcPr>
            <w:tcW w:type="dxa" w:w="1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Last tested</w:t>
            </w:r>
          </w:p>
        </w:tc>
        <w:tc>
          <w:tcPr>
            <w:tcW w:type="dxa" w:w="1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Result</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REV-01</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Sales order to invoice — credit check, price master lookup, and DoA-based approval enforced in ERP before invoice release</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Every transaction (automated)</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Head of Order-to-Cash</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ERP configuration screen shot; sample of 25 invoices traced to credit-check log; exception report</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REV-02</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Revenue cut-off procedures — dispatch date, e-way bill date, and revenue recognition date reconciled month-end and at year-end</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Monthly and at year-end</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Financial Controller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Cut-off working paper; sample of last 15 and first 15 invoices around period-end; e-way bill exception log</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REV-03</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Credit notes above the DoA threshold require Financial Controller counter-approval and a documented reason code</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Every credit note above threshold</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Financial Controller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Credit note register; counter-approval e-mails; reason-code trend analysis</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REV-04</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Debtor confirmation procedures at year-end — sample selected by materiality and risk, positive confirmation preferred</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Annual</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Head of Order-to-Cash</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Confirmation register; response tracker; alternate procedures for non-responses</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bl>
    <w:p>
      <w:pPr>
        <w:pStyle w:val="Heading2"/>
        <w:spacing w:after="120" w:before="240"/>
      </w:pPr>
      <w:r>
        <w:rPr>
          <w:rFonts w:ascii="Helvetica" w:cs="Helvetica" w:eastAsia="Helvetica" w:hAnsi="Helvetica"/>
          <w:b/>
          <w:bCs/>
          <w:color w:val="1E3A5F"/>
          <w:sz w:val="28"/>
          <w:szCs w:val="28"/>
        </w:rPr>
        <w:t xml:space="preserve">C. Procurement to payables (P2P)</w:t>
      </w:r>
    </w:p>
    <w:tbl>
      <w:tblPr>
        <w:tblW w:type="dxa" w:w="12700"/>
        <w:tblBorders>
          <w:top w:val="single" w:color="auto" w:sz="4"/>
          <w:left w:val="single" w:color="auto" w:sz="4"/>
          <w:bottom w:val="single" w:color="auto" w:sz="4"/>
          <w:right w:val="single" w:color="auto" w:sz="4"/>
          <w:insideH w:val="single" w:color="auto" w:sz="4"/>
          <w:insideV w:val="single" w:color="auto" w:sz="4"/>
        </w:tblBorders>
      </w:tblPr>
      <w:tblGrid>
        <w:gridCol w:w="900"/>
        <w:gridCol w:w="3400"/>
        <w:gridCol w:w="1800"/>
        <w:gridCol w:w="1400"/>
        <w:gridCol w:w="2400"/>
        <w:gridCol w:w="1400"/>
        <w:gridCol w:w="1400"/>
      </w:tblGrid>
      <w:tr>
        <w:trPr>
          <w:tblHeader/>
        </w:trPr>
        <w:tc>
          <w:tcPr>
            <w:tcW w:type="dxa" w:w="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Ref</w:t>
            </w:r>
          </w:p>
        </w:tc>
        <w:tc>
          <w:tcPr>
            <w:tcW w:type="dxa" w:w="3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Control description</w:t>
            </w:r>
          </w:p>
        </w:tc>
        <w:tc>
          <w:tcPr>
            <w:tcW w:type="dxa" w:w="18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Frequency</w:t>
            </w:r>
          </w:p>
        </w:tc>
        <w:tc>
          <w:tcPr>
            <w:tcW w:type="dxa" w:w="1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Owner</w:t>
            </w:r>
          </w:p>
        </w:tc>
        <w:tc>
          <w:tcPr>
            <w:tcW w:type="dxa" w:w="2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Test evidence</w:t>
            </w:r>
          </w:p>
        </w:tc>
        <w:tc>
          <w:tcPr>
            <w:tcW w:type="dxa" w:w="1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Last tested</w:t>
            </w:r>
          </w:p>
        </w:tc>
        <w:tc>
          <w:tcPr>
            <w:tcW w:type="dxa" w:w="1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Result</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P2P-01</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Purchase requisition raised only against an approved budget line; over-budget requisitions block until re-approval</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Every transaction (automated)</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Head of Procurement</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ERP block-and-release logs; sample of 25 requisitions traced to budget line</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P2P-02</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Three-way match — PO, GRN, and vendor invoice quantity and rate reconciled before invoice booking</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Every transaction (automated)</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AP Manager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Three-way match exception report; sample of 25 invoices traced to PO and GRN; unmatched invoice ageing</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P2P-03</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Vendor master maintenance — segregation between AP-invoice-processor and vendor-master-updater roles; changes logged and reviewed weekly</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Weekly log review; change on request</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AP Manager and Master Data Owner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Segregation-of-duties matrix; vendor master change log; independent reviewer sign-off</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P2P-04</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Section 194Q applicability check at vendor onboarding; TDS at 0.1 % on aggregate purchases above Rs 50 lakh per vendor deducted automatically</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Every transaction (automated) with monthly reconciliation</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AP Manager and Tax Manager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Vendor 194Q applicability register; ERP TDS-code configuration; monthly TDS payable reconciliation</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P2P-05</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Section 43B(h) MSME vendor payment — Udyam-verified vendors flagged, ageing monitored monthly, disallowance schedule refreshed each month</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Monthly ageing and disallowance schedule refresh</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AP Manager and Tax Manager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Udyam register; monthly AP ageing filtered by MSME; disallowance-tracker with prior-month comparison</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bl>
    <w:p>
      <w:pPr>
        <w:pStyle w:val="Heading2"/>
        <w:spacing w:after="120" w:before="240"/>
      </w:pPr>
      <w:r>
        <w:rPr>
          <w:rFonts w:ascii="Helvetica" w:cs="Helvetica" w:eastAsia="Helvetica" w:hAnsi="Helvetica"/>
          <w:b/>
          <w:bCs/>
          <w:color w:val="1E3A5F"/>
          <w:sz w:val="28"/>
          <w:szCs w:val="28"/>
        </w:rPr>
        <w:t xml:space="preserve">D. Treasury, cash, and forex (CASH)</w:t>
      </w:r>
    </w:p>
    <w:tbl>
      <w:tblPr>
        <w:tblW w:type="dxa" w:w="12700"/>
        <w:tblBorders>
          <w:top w:val="single" w:color="auto" w:sz="4"/>
          <w:left w:val="single" w:color="auto" w:sz="4"/>
          <w:bottom w:val="single" w:color="auto" w:sz="4"/>
          <w:right w:val="single" w:color="auto" w:sz="4"/>
          <w:insideH w:val="single" w:color="auto" w:sz="4"/>
          <w:insideV w:val="single" w:color="auto" w:sz="4"/>
        </w:tblBorders>
      </w:tblPr>
      <w:tblGrid>
        <w:gridCol w:w="900"/>
        <w:gridCol w:w="3400"/>
        <w:gridCol w:w="1800"/>
        <w:gridCol w:w="1400"/>
        <w:gridCol w:w="2400"/>
        <w:gridCol w:w="1400"/>
        <w:gridCol w:w="1400"/>
      </w:tblGrid>
      <w:tr>
        <w:trPr>
          <w:tblHeader/>
        </w:trPr>
        <w:tc>
          <w:tcPr>
            <w:tcW w:type="dxa" w:w="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Ref</w:t>
            </w:r>
          </w:p>
        </w:tc>
        <w:tc>
          <w:tcPr>
            <w:tcW w:type="dxa" w:w="3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Control description</w:t>
            </w:r>
          </w:p>
        </w:tc>
        <w:tc>
          <w:tcPr>
            <w:tcW w:type="dxa" w:w="18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Frequency</w:t>
            </w:r>
          </w:p>
        </w:tc>
        <w:tc>
          <w:tcPr>
            <w:tcW w:type="dxa" w:w="1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Owner</w:t>
            </w:r>
          </w:p>
        </w:tc>
        <w:tc>
          <w:tcPr>
            <w:tcW w:type="dxa" w:w="2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Test evidence</w:t>
            </w:r>
          </w:p>
        </w:tc>
        <w:tc>
          <w:tcPr>
            <w:tcW w:type="dxa" w:w="1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Last tested</w:t>
            </w:r>
          </w:p>
        </w:tc>
        <w:tc>
          <w:tcPr>
            <w:tcW w:type="dxa" w:w="1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Result</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CASH-01</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Bank reconciliations prepared for every account within 5 working days of month-end; independently reviewed by the Financial Controller</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Monthly (within 5 working days)</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Treasury Analyst</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Signed BRS for every account; unreconciled items ageing; reviewer sign-off</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CASH-02</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Payment approvals — dual-approval in the corporate banking portal for every payment above the DoA threshold</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Every payment above threshold</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Treasury Manager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Banking portal audit log; DoA cross-check; sample of 25 payments traced to approvers</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CASH-03</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Petty cash reconciled weekly; surprise physical verification quarterly by the internal audit team</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Weekly reconciliation; quarterly surprise count</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Petty Cash Custodian and Internal Audit</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Weekly reconciliation sheet; surprise count report; variance investigation memo</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CASH-04</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Investment / borrowing decisions — Treasury Committee approval matrix enforced; counterparty limits monitored daily</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Every transaction; daily monitoring</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Treasury Manager and Treasury Committee</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Treasury Committee minutes; counterparty limit dashboard; breach register</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CASH-05</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Forex exposure — hedge policy approved; open exposure and hedge coverage reviewed monthly; Ind AS 21 restatement at each reporting date</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Monthly hedge review; each reporting date</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Treasury Manager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Hedge policy document; monthly exposure and coverage report; Ind AS 21 restatement working paper</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bl>
    <w:p>
      <w:pPr>
        <w:pStyle w:val="Heading2"/>
        <w:spacing w:after="120" w:before="240"/>
      </w:pPr>
      <w:r>
        <w:rPr>
          <w:rFonts w:ascii="Helvetica" w:cs="Helvetica" w:eastAsia="Helvetica" w:hAnsi="Helvetica"/>
          <w:b/>
          <w:bCs/>
          <w:color w:val="1E3A5F"/>
          <w:sz w:val="28"/>
          <w:szCs w:val="28"/>
        </w:rPr>
        <w:t xml:space="preserve">E. IT general controls (ITGC)</w:t>
      </w:r>
    </w:p>
    <w:tbl>
      <w:tblPr>
        <w:tblW w:type="dxa" w:w="12700"/>
        <w:tblBorders>
          <w:top w:val="single" w:color="auto" w:sz="4"/>
          <w:left w:val="single" w:color="auto" w:sz="4"/>
          <w:bottom w:val="single" w:color="auto" w:sz="4"/>
          <w:right w:val="single" w:color="auto" w:sz="4"/>
          <w:insideH w:val="single" w:color="auto" w:sz="4"/>
          <w:insideV w:val="single" w:color="auto" w:sz="4"/>
        </w:tblBorders>
      </w:tblPr>
      <w:tblGrid>
        <w:gridCol w:w="900"/>
        <w:gridCol w:w="3400"/>
        <w:gridCol w:w="1800"/>
        <w:gridCol w:w="1400"/>
        <w:gridCol w:w="2400"/>
        <w:gridCol w:w="1400"/>
        <w:gridCol w:w="1400"/>
      </w:tblGrid>
      <w:tr>
        <w:trPr>
          <w:tblHeader/>
        </w:trPr>
        <w:tc>
          <w:tcPr>
            <w:tcW w:type="dxa" w:w="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Ref</w:t>
            </w:r>
          </w:p>
        </w:tc>
        <w:tc>
          <w:tcPr>
            <w:tcW w:type="dxa" w:w="3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Control description</w:t>
            </w:r>
          </w:p>
        </w:tc>
        <w:tc>
          <w:tcPr>
            <w:tcW w:type="dxa" w:w="18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Frequency</w:t>
            </w:r>
          </w:p>
        </w:tc>
        <w:tc>
          <w:tcPr>
            <w:tcW w:type="dxa" w:w="1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Owner</w:t>
            </w:r>
          </w:p>
        </w:tc>
        <w:tc>
          <w:tcPr>
            <w:tcW w:type="dxa" w:w="2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Test evidence</w:t>
            </w:r>
          </w:p>
        </w:tc>
        <w:tc>
          <w:tcPr>
            <w:tcW w:type="dxa" w:w="1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Last tested</w:t>
            </w:r>
          </w:p>
        </w:tc>
        <w:tc>
          <w:tcPr>
            <w:tcW w:type="dxa" w:w="1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Result</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ITGC-01</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ERP access provisioning — request, approval, and revocation follow a documented workflow; quarterly user access review by data owners</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On joining, role change, or exit; quarterly review</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IT Security Officer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Access request workflow tickets; user access matrix; quarterly access-review sign-off</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ITGC-02</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Privileged account management — administrator IDs vaulted, session-recorded, and reviewed monthly</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Every privileged session (automated logging); monthly review</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IT Security Officer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Privileged access management (PAM) session logs; monthly review report</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ITGC-03</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Change management — ERP configuration, master data, and interface changes follow request, test, approval, and post-implementation review</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Every change (workflow-controlled)</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IT Change Manager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Change tickets; test evidence; approval records; post-implementation review notes</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ITGC-04</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Backup and disaster recovery — daily incremental and weekly full backups; annual DR drill with results reviewed by the Audit Committee</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Daily and weekly backups; annual DR drill</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IT Infrastructure Manager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Backup success log; DR drill report; Audit Committee minute reference</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ITGC-05</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Interface controls — sub-ledger to GL, bank statement inbound, GSTR inbound / outbound files reconciled daily with exception queue monitored</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Daily (automated) with exception queue review</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IT Application Manager and Financial Controller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Interface reconciliation dashboard; exception queue register; exception ageing report</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ITGC-06</w:t>
            </w:r>
          </w:p>
        </w:tc>
        <w:tc>
          <w:tcPr>
            <w:tcW w:type="dxa" w:w="3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Application security — password policy, MFA on internet-facing applications, and vulnerability scan cadence documented and evidenced</w:t>
            </w:r>
          </w:p>
        </w:tc>
        <w:tc>
          <w:tcPr>
            <w:tcW w:type="dxa" w:w="18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Continuous enforcement; monthly scans</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IT Security Officer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Password policy; MFA enforcement report; monthly vulnerability scan reports</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[dd-mmm-yyyy]</w:t>
            </w:r>
          </w:p>
        </w:tc>
        <w:tc>
          <w:tcPr>
            <w:tcW w:type="dxa" w:w="1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[Effective / Ineffective]</w:t>
            </w:r>
          </w:p>
        </w:tc>
      </w:tr>
    </w:tbl>
    <w:p>
      <w:pPr>
        <w:spacing w:after="200" w:before="0"/>
      </w:pPr>
      <w:r>
        <w:rPr>
          <w:rFonts w:ascii="Calibri" w:cs="Calibri" w:eastAsia="Calibri" w:hAnsi="Calibri"/>
          <w:b w:val="false"/>
          <w:bCs w:val="false"/>
          <w:i w:val="false"/>
          <w:iCs w:val="false"/>
          <w:color w:val="000000"/>
          <w:sz w:val="22"/>
          <w:szCs w:val="22"/>
        </w:rPr>
        <w:t xml:space="preserve"/>
      </w:r>
    </w:p>
    <w:p>
      <w:pPr>
        <w:pStyle w:val="Heading2"/>
        <w:spacing w:after="120" w:before="240"/>
      </w:pPr>
      <w:r>
        <w:rPr>
          <w:rFonts w:ascii="Helvetica" w:cs="Helvetica" w:eastAsia="Helvetica" w:hAnsi="Helvetica"/>
          <w:b/>
          <w:bCs/>
          <w:color w:val="1E3A5F"/>
          <w:sz w:val="28"/>
          <w:szCs w:val="28"/>
        </w:rPr>
        <w:t xml:space="preserve">Deficiency classification and remediation</w:t>
      </w:r>
    </w:p>
    <w:p>
      <w:pPr>
        <w:spacing w:after="120" w:before="0"/>
      </w:pPr>
      <w:r>
        <w:rPr>
          <w:rFonts w:ascii="Calibri" w:cs="Calibri" w:eastAsia="Calibri" w:hAnsi="Calibri"/>
          <w:b w:val="false"/>
          <w:bCs w:val="false"/>
          <w:i w:val="false"/>
          <w:iCs w:val="false"/>
          <w:color w:val="000000"/>
          <w:sz w:val="22"/>
          <w:szCs w:val="22"/>
        </w:rPr>
        <w:t xml:space="preserve">If a control tests Ineffective, classify the deficiency using the ICAI Guidance Note on Audit of Internal Financial Controls Over Financial Reporting:</w:t>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2600"/>
        <w:gridCol w:w="3600"/>
        <w:gridCol w:w="3600"/>
      </w:tblGrid>
      <w:tr>
        <w:trPr>
          <w:tblHeader/>
        </w:trPr>
        <w:tc>
          <w:tcPr>
            <w:tcW w:type="dxa" w:w="26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Severity</w:t>
            </w:r>
          </w:p>
        </w:tc>
        <w:tc>
          <w:tcPr>
            <w:tcW w:type="dxa" w:w="36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Definition</w:t>
            </w:r>
          </w:p>
        </w:tc>
        <w:tc>
          <w:tcPr>
            <w:tcW w:type="dxa" w:w="36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Remediation cadence</w:t>
            </w:r>
          </w:p>
        </w:tc>
      </w:tr>
      <w:tr>
        <w:tc>
          <w:tcPr>
            <w:tcW w:type="dxa" w:w="26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Material weakness</w:t>
            </w:r>
          </w:p>
        </w:tc>
        <w:tc>
          <w:tcPr>
            <w:tcW w:type="dxa" w:w="36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Reasonable possibility of a material misstatement not being prevented or detected on a timely basis</w:t>
            </w:r>
          </w:p>
        </w:tc>
        <w:tc>
          <w:tcPr>
            <w:tcW w:type="dxa" w:w="36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Immediate; board reporting within the reporting period</w:t>
            </w:r>
          </w:p>
        </w:tc>
      </w:tr>
      <w:tr>
        <w:tc>
          <w:tcPr>
            <w:tcW w:type="dxa" w:w="26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Significant deficiency</w:t>
            </w:r>
          </w:p>
        </w:tc>
        <w:tc>
          <w:tcPr>
            <w:tcW w:type="dxa" w:w="36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Less severe than material weakness but important enough to merit attention of governance</w:t>
            </w:r>
          </w:p>
        </w:tc>
        <w:tc>
          <w:tcPr>
            <w:tcW w:type="dxa" w:w="36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Within 60 days; Audit Committee update at the next meeting</w:t>
            </w:r>
          </w:p>
        </w:tc>
      </w:tr>
      <w:tr>
        <w:tc>
          <w:tcPr>
            <w:tcW w:type="dxa" w:w="26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Deficiency</w:t>
            </w:r>
          </w:p>
        </w:tc>
        <w:tc>
          <w:tcPr>
            <w:tcW w:type="dxa" w:w="36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Design gap or operating exception that is not significant</w:t>
            </w:r>
          </w:p>
        </w:tc>
        <w:tc>
          <w:tcPr>
            <w:tcW w:type="dxa" w:w="36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Within 90 days; management remediation without governance-level reporting</w:t>
            </w:r>
          </w:p>
        </w:tc>
      </w:tr>
    </w:tbl>
    <w:p>
      <w:pPr>
        <w:spacing w:after="160" w:before="0"/>
      </w:pPr>
      <w:r>
        <w:rPr>
          <w:rFonts w:ascii="Calibri" w:cs="Calibri" w:eastAsia="Calibri" w:hAnsi="Calibri"/>
          <w:b w:val="false"/>
          <w:bCs w:val="false"/>
          <w:i w:val="false"/>
          <w:iCs w:val="false"/>
          <w:color w:val="000000"/>
          <w:sz w:val="22"/>
          <w:szCs w:val="22"/>
        </w:rPr>
        <w:t xml:space="preserve"/>
      </w:r>
    </w:p>
    <w:p>
      <w:pPr>
        <w:pStyle w:val="Heading2"/>
        <w:spacing w:after="120" w:before="240"/>
      </w:pPr>
      <w:r>
        <w:rPr>
          <w:rFonts w:ascii="Helvetica" w:cs="Helvetica" w:eastAsia="Helvetica" w:hAnsi="Helvetica"/>
          <w:b/>
          <w:bCs/>
          <w:color w:val="1E3A5F"/>
          <w:sz w:val="28"/>
          <w:szCs w:val="28"/>
        </w:rPr>
        <w:t xml:space="preserve">Auditor deliverable</w:t>
      </w:r>
    </w:p>
    <w:p>
      <w:pPr>
        <w:spacing w:after="120" w:before="0"/>
      </w:pPr>
      <w:r>
        <w:rPr>
          <w:rFonts w:ascii="Calibri" w:cs="Calibri" w:eastAsia="Calibri" w:hAnsi="Calibri"/>
          <w:b w:val="false"/>
          <w:bCs w:val="false"/>
          <w:i w:val="false"/>
          <w:iCs w:val="false"/>
          <w:color w:val="000000"/>
          <w:sz w:val="22"/>
          <w:szCs w:val="22"/>
        </w:rPr>
        <w:t xml:space="preserve">This checklist, once populated for the reporting period and signed by the control owners and internal audit, is the primary evidence set that the statutory auditor will use for the Section 143(3)(i) opinion. It is stored at </w:t>
      </w:r>
      <w:r>
        <w:rPr>
          <w:rFonts w:ascii="Calibri" w:cs="Calibri" w:eastAsia="Calibri" w:hAnsi="Calibri"/>
          <w:b/>
          <w:bCs/>
          <w:i w:val="false"/>
          <w:iCs w:val="false"/>
          <w:color w:val="000000"/>
          <w:sz w:val="22"/>
          <w:szCs w:val="22"/>
        </w:rPr>
        <w:t xml:space="preserve">9_ICFR_Test_Files/</w:t>
      </w:r>
      <w:r>
        <w:rPr>
          <w:rFonts w:ascii="Calibri" w:cs="Calibri" w:eastAsia="Calibri" w:hAnsi="Calibri"/>
          <w:b w:val="false"/>
          <w:bCs w:val="false"/>
          <w:i w:val="false"/>
          <w:iCs w:val="false"/>
          <w:color w:val="000000"/>
          <w:sz w:val="22"/>
          <w:szCs w:val="22"/>
        </w:rPr>
        <w:t xml:space="preserve"> in the working papers tree.</w:t>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shd w:fill="FFF4CE" w:color="auto" w:val="clear"/>
            <w:tcMar>
              <w:top w:type="dxa" w:w="160"/>
              <w:left w:type="dxa" w:w="200"/>
              <w:bottom w:type="dxa" w:w="160"/>
              <w:right w:type="dxa" w:w="200"/>
            </w:tcMar>
          </w:tcPr>
          <w:p>
            <w:r>
              <w:rPr>
                <w:rFonts w:ascii="Calibri" w:cs="Calibri" w:eastAsia="Calibri" w:hAnsi="Calibri"/>
                <w:b/>
                <w:bCs/>
                <w:color w:val="13253C"/>
                <w:sz w:val="22"/>
                <w:szCs w:val="22"/>
              </w:rPr>
              <w:t xml:space="preserve">The Section 143(3)(i) opinion is not a one-time exercise. Controls must operate throughout the reporting period. A control tested only in March, with no evidence of operation for the preceding eleven months, will draw an "Ineffective" conclusion.</w:t>
            </w:r>
          </w:p>
        </w:tc>
      </w:tr>
    </w:tbl>
    <w:sectPr>
      <w:headerReference w:type="default" r:id="rId7"/>
      <w:footerReference w:type="default" r:id="rId8"/>
      <w:pgSz w:w="15840" w:h="12240" w:orient="portrait"/>
      <w:pgMar w:top="720" w:right="720" w:bottom="720" w:left="72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4A4A4A"/>
        <w:sz w:val="18"/>
        <w:szCs w:val="18"/>
      </w:rPr>
      <w:t xml:space="preserve">Illustrative template — customise before sending.  Terra Insight Editorial Team  |  Version 1.0  |  2026-08-16  |  Page </w:t>
    </w:r>
    <w:r>
      <w:rPr>
        <w:rFonts w:ascii="Calibri" w:cs="Calibri" w:eastAsia="Calibri" w:hAnsi="Calibri"/>
        <w:color w:val="4A4A4A"/>
        <w:sz w:val="18"/>
        <w:szCs w:val="18"/>
      </w:rPr>
      <w:fldChar w:fldCharType="begin"/>
      <w:instrText xml:space="preserve">PAGE</w:instrText>
      <w:fldChar w:fldCharType="separate"/>
      <w:fldChar w:fldCharType="end"/>
    </w:r>
    <w:r>
      <w:rPr>
        <w:rFonts w:ascii="Calibri" w:cs="Calibri" w:eastAsia="Calibri" w:hAnsi="Calibri"/>
        <w:color w:val="4A4A4A"/>
        <w:sz w:val="18"/>
        <w:szCs w:val="18"/>
      </w:rPr>
      <w:t xml:space="preserve"> of </w:t>
    </w:r>
    <w:r>
      <w:rPr>
        <w:rFonts w:ascii="Calibri" w:cs="Calibri" w:eastAsia="Calibri" w:hAnsi="Calibri"/>
        <w:color w:val="4A4A4A"/>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6DEE8" w:sz="8" w:space="4"/>
      </w:pBdr>
    </w:pPr>
    <w:r>
      <w:rPr>
        <w:rFonts w:ascii="Helvetica" w:cs="Helvetica" w:eastAsia="Helvetica" w:hAnsi="Helvetica"/>
        <w:b/>
        <w:bCs/>
        <w:color w:val="1E3A5F"/>
        <w:sz w:val="20"/>
        <w:szCs w:val="20"/>
      </w:rPr>
      <w:t xml:space="preserve">Terra Insight</w:t>
    </w:r>
    <w:r>
      <w:rPr>
        <w:rFonts w:ascii="Helvetica" w:cs="Helvetica" w:eastAsia="Helvetica" w:hAnsi="Helvetica"/>
        <w:color w:val="4A4A4A"/>
        <w:sz w:val="20"/>
        <w:szCs w:val="20"/>
      </w:rPr>
      <w:t xml:space="preserve">  |  </w:t>
    </w:r>
    <w:r>
      <w:rPr>
        <w:rFonts w:ascii="Helvetica" w:cs="Helvetica" w:eastAsia="Helvetica" w:hAnsi="Helvetica"/>
        <w:color w:val="4A4A4A"/>
        <w:sz w:val="20"/>
        <w:szCs w:val="20"/>
      </w:rPr>
      <w:t xml:space="preserve">03 — ICFR Control Evidence Checklist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260"/>
      </w:pPr>
    </w:lvl>
    <w:lvl w:ilvl="1" w15:tentative="1">
      <w:start w:val="1"/>
      <w:numFmt w:val="bullet"/>
      <w:lvlText w:val="◦"/>
      <w:lvlJc w:val="left"/>
      <w:pPr>
        <w:ind w:left="720" w:hanging="260"/>
      </w:pPr>
    </w:lvl>
    <w:lvl w:ilvl="2" w15:tentative="1">
      <w:start w:val="1"/>
      <w:numFmt w:val="bullet"/>
      <w:lvlText w:val="▪"/>
      <w:lvlJc w:val="left"/>
      <w:pPr>
        <w:ind w:left="108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Normal">
    <w:name w:val="Normal"/>
    <w:pPr>
      <w:spacing w:after="120" w:line="300"/>
    </w:pPr>
    <w:rPr>
      <w:rFonts w:ascii="Calibri" w:cs="Calibri" w:eastAsia="Calibri" w:hAnsi="Calibri"/>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 — ICFR Control Evidence Checklist</dc:title>
  <dc:creator>Terra Insight Editorial Team</dc:creator>
  <cp:lastModifiedBy>Un-named</cp:lastModifiedBy>
  <cp:revision>1</cp:revision>
  <dcterms:created xsi:type="dcterms:W3CDTF">2026-08-23T15:09:55.905Z</dcterms:created>
  <dcterms:modified xsi:type="dcterms:W3CDTF">2026-08-23T15:09:55.915Z</dcterms:modified>
</cp:coreProperties>
</file>

<file path=docProps/custom.xml><?xml version="1.0" encoding="utf-8"?>
<Properties xmlns="http://schemas.openxmlformats.org/officeDocument/2006/custom-properties" xmlns:vt="http://schemas.openxmlformats.org/officeDocument/2006/docPropsVTypes"/>
</file>