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pBdr>
          <w:bottom w:val="single" w:color="1E3A5F" w:sz="12" w:space="4"/>
        </w:pBdr>
        <w:spacing w:after="160" w:before="320"/>
      </w:pPr>
      <w:r>
        <w:rPr>
          <w:rFonts w:ascii="Helvetica" w:cs="Helvetica" w:eastAsia="Helvetica" w:hAnsi="Helvetica"/>
          <w:b/>
          <w:bCs/>
          <w:color w:val="1E3A5F"/>
          <w:sz w:val="36"/>
          <w:szCs w:val="36"/>
        </w:rPr>
        <w:t xml:space="preserve">CARO 2020 Evidence Checklist — all 21 clauses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FFF4CE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3253C"/>
                <w:sz w:val="22"/>
                <w:szCs w:val="22"/>
              </w:rPr>
              <w:t xml:space="preserve">Customise before sending. [COMPANY NAME] applicability of Clauses (vi) cost records, (xii) Nidhi, (xvi) NBFC, (xxi) CFS must be assessed and non-applicable clauses marked N/A with the reason recorded — CARO reporting is not optional for applicability.</w:t>
            </w:r>
          </w:p>
        </w:tc>
      </w:tr>
    </w:tbl>
    <w:p>
      <w:pPr>
        <w:spacing w:after="16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Scope and applicability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This checklist covers every clause of the Companies (Auditor’s Report) Order, 2020 that a statutory auditor is required to report on for eligible companies. It excludes small companies, one-person companies, and banking / insurance companies that are exempt under Paragraph 2 of CARO 2020. For [COMPANY NAME], the applicability decision must be documented and cross-referenced in Folder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10.00_CARO_Applicability_Assessment/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before the clause-level evidence is populated.</w:t>
      </w:r>
    </w:p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How to use this checklist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Populate the "evidence prepared" column progressively across the year, not at year-end.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each clause, cross-link the evidence with the folder path from 01-Working-Papers-Folder-Structure.docx — auditors should never have to ask "where is this?"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clauses marked N/A, insert a one-line reason in the "Preparer notes" column (for example, "Not a Nidhi Company — Clause (xii) N/A").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Preparer + reviewer must sign off in the 99_Sign_off_and_Handover matrix. This checklist is the source-of-truth cover for that sign-off.</w:t>
      </w:r>
    </w:p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Clause-by-clause evidence register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1900"/>
        <w:gridCol w:w="3400"/>
        <w:gridCol w:w="2200"/>
        <w:gridCol w:w="1200"/>
        <w:gridCol w:w="1200"/>
      </w:tblGrid>
      <w:tr>
        <w:trPr>
          <w:tblHeader/>
        </w:trPr>
        <w:tc>
          <w:tcPr>
            <w:tcW w:type="dxa" w:w="9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Clause</w:t>
            </w:r>
          </w:p>
        </w:tc>
        <w:tc>
          <w:tcPr>
            <w:tcW w:type="dxa" w:w="19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Title</w:t>
            </w:r>
          </w:p>
        </w:tc>
        <w:tc>
          <w:tcPr>
            <w:tcW w:type="dxa" w:w="34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Evidence required</w:t>
            </w:r>
          </w:p>
        </w:tc>
        <w:tc>
          <w:tcPr>
            <w:tcW w:type="dxa" w:w="2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Folder location</w:t>
            </w:r>
          </w:p>
        </w:tc>
        <w:tc>
          <w:tcPr>
            <w:tcW w:type="dxa" w:w="1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Preparer</w:t>
            </w:r>
          </w:p>
        </w:tc>
        <w:tc>
          <w:tcPr>
            <w:tcW w:type="dxa" w:w="1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Reviewer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(i)(a)–(c)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Property, plant and equipment; intangibles; title deeds; revaluation; benami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Fixed assets register with full particulars; physical verification report by management; reconciliation with GL; register of title deeds for all immovable properties in the name of the Company; independent valuer report if revaluation ≥ 10 %; declarations for benami proceedings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5.1_Section_32_Depreciation/ and 10_CARO_2020_Evidence/10.01_Clause_i/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Fixed Assets Accountant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(ii)(a)–(b)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Inventory physical verification; discrepancies ≥ 10 %; working capital limits from banks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Cycle count and year-end physical verification reports; management’s reconciliation of physical vs book quantity and value; documented explanation for discrepancies ≥ 10 % in any class; quarterly returns filed with banks against sanctioned working capital and reconciliation with books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5.3_Physical_Verification_Report_[FY].pdf and 10_CARO_2020_Evidence/10.02_Clause_ii/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Inventory Manager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(iii)(a)–(f)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Loans, advances, guarantees, security to any party during the year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Party-wise summary of loans, guarantees, and security; terms and conditions register; principal / interest overdue schedule ≥ 90 days; loans renewed / extended register; loans without terms of repayment; movement schedule of loans to related parties (Section 2(76))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10_CARO_2020_Evidence/10.03_Clause_iii/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Treasury Analyst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(iv)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Compliance with Sections 185 and 186 — loans, investments, guarantees, security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Board resolution register for every Section 185 / 186 transaction; special resolution register where 100 % / 60 % thresholds crossed; register of loans, guarantees, and securities in Form MBP-2 read with Rule 12; confirmation from company secretary on aggregate limit compliance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10_CARO_2020_Evidence/10.04_Clause_iv/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Company Secretary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(v)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Deposits accepted; unclaimed deposits; Sections 73 to 76 compliance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Register of deposits in Form DPT-3; deposit trust deed and deposit insurance / charge documentation; unclaimed deposits schedule; RBI directive compliance memo where the Company is deemed to have accepted deposits from the public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10_CARO_2020_Evidence/10.05_Clause_v/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Company Secretary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(vi)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Cost records maintained under Section 148(1) — where applicable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CRA-1 records maintained item-wise; auditor’s prima facie review that cost records exist and have been made; if cost audit applicable, CRA-2, CRA-3, CRA-4 filing evidence and the cost auditor’s report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10_CARO_2020_Evidence/10.06_Clause_vi/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Cost Accountant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(vii)(a)–(b)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Statutory dues — TDS + TCS + GST + PF + ESI + PT + advance tax + customs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Statute-wise register of amounts payable and paid within due date; delayed payment register with interest calculation; departmental communication register including notices, orders, disputes; dispute pendency register with forum, amount, and forum-level status; management representation on any undisputed dues ≥ 6 months old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3_TDS_Working_Papers/ + 4_GST_Working_Papers/ + 10_CARO_2020_Evidence/10.07_Clause_vii/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Tax Manager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(viii)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Transactions surrendered or disclosed during search — Section 132 of the Income-tax Act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Declaration from Board that no undisclosed income was surrendered or admitted during search / survey; if so, reconciliation with books and treatment of the surrender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10_CARO_2020_Evidence/10.08_Clause_viii/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Tax Manager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(ix)(a)–(f)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Default in repayment of loans / borrowings; wilful defaulter; end-use of term loans; short-term to long-term diversion; subsidiary funds used to meet obligations; loans on pledge of subsidiary shares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Loan agreements register; ageing of overdue instalments and interest; CIBIL / MSMEcheck confirmation letter; end-use certification for term loans; short-term loan reconciliation and diversion memo; register of loans raised by using subsidiary security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10_CARO_2020_Evidence/10.09_Clause_ix/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Treasury Manager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(x)(a)–(b)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Public issue, further public offer, private placement, preferential allotment during the year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PAS-3 filing evidence; utilisation-of-proceeds statement reconciled to bank; SEBI ICDR compliance certificate where applicable; preferential allotment resolution and PAS-4 offer letter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10_CARO_2020_Evidence/10.10_Clause_x/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Company Secretary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(xi)(a)–(c)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Fraud on or by the Company; whistleblower complaints; Section 143(12) reporting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Fraud register maintained by the Audit Committee; ADT-4 filings if any; whistleblower complaint register with disposition; management representation on no unreported fraud; where fraud reported, remediation memo and internal audit follow-up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10_CARO_2020_Evidence/10.11_Clause_xi/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Chief Compliance Officer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Audit Committee Chair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(xii)(a)–(c)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Nidhi Company — net-owned-funds / deposit ratio, twenty per cent liquid asset, unencumbered term deposits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For Nidhi Companies only. Ratio computation reconciling NOF to deposits; register of unencumbered term deposits; liquid asset schedule; management representation on default in payment of interest / principal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10_CARO_2020_Evidence/10.12_Clause_xii/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CFO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(xiii)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Related party transactions — Sections 177 and 188; Ind AS 24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Audit Committee approval register for every RPT; Board approval register for material RPTs; Section 188 compliance memo including arm’s-length pricing evidence; Ind AS 24 disclosure schedule reconciled to the financial statements; SDT Section 92BA documentation where applicable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7_Related_Party/ + 10_CARO_2020_Evidence/10.13_Clause_xiii/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Company Secretary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CFO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(xiv)(a)–(b)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Internal audit system commensurate with size; internal audit reports considered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Internal audit charter; annual internal audit plan approved by Audit Committee; quarterly internal audit reports; action-taken register on internal audit observations; management sign-off that reports were considered by the statutory auditor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10_CARO_2020_Evidence/10.14_Clause_xiv/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Head of Internal Audit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Audit Committee Chair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(xv)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Non-cash transactions with directors or connected persons — Section 192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Register of non-cash transactions in which any director or person connected has an interest; Section 192 compliance memo; general meeting approval evidence if aggregate exceeds Rs 5 lakh or the prescribed threshold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10_CARO_2020_Evidence/10.15_Clause_xv/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Company Secretary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(xvi)(a)–(d)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NBFC / HFC — registration; unregistered activity; Core Investment Company; group CIC exemption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For NBFCs only. Certificate of Registration issued by RBI; principal-business criteria calculation; group structure map identifying CICs; compliance memo confirming no unregistered NBFC activity is being carried on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10_CARO_2020_Evidence/10.16_Clause_xvi/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Compliance Officer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CFO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(xvii)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Cash losses in the current and immediately preceding financial year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Working showing "cash loss" (loss adjusted for non-cash items) for both years; if cash losses reported, quantum and reasons memo; going-concern assessment cross-linked to Clause (xix)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10_CARO_2020_Evidence/10.17_Clause_xvii/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Financial Controller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CFO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(xviii)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Resignation of the statutory auditor during the year; issues considered on takeover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ADT-3 filing evidence if any auditor resigned; communication trail between outgoing and incoming auditor; audit committee note on issues, objections, or concerns raised by the outgoing auditor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10_CARO_2020_Evidence/10.18_Clause_xviii/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Company Secretary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Audit Committee Chair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(xix)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Material uncertainty on going concern; ability to meet liabilities within one year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Going-concern assessment memo covering financial ratios, debt maturity ladder, unused facilities, and committed cash flows for 12 months from the balance-sheet date; management representation; auditor’s Emphasis-of-Matter draft if any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10_CARO_2020_Evidence/10.19_Clause_xix/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CFO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Board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(xx)(a)–(b)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Section 135 CSR — unspent amount transfer within statutory timelines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CSR obligation vs actual spend register; unspent CSR account movement reconciled to bank; transfer to Schedule VII fund within six months evidence; ongoing project register with three-year completion timeline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10_CARO_2020_Evidence/10.20_Clause_xx/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CSR Committee Secretary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CFO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(xxi)</w:t>
            </w:r>
          </w:p>
        </w:tc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Consolidated financial statements — CARO qualifications, reservations, adverse remarks in component auditor reports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For entities preparing consolidated financial statements. Register of all component auditor CARO reports; qualification-tracking register with parent-level assessment; management memo on materiality of each qualification at the group level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10_CARO_2020_Evidence/10.21_Clause_xxi/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Group Financial Controller</w:t>
            </w:r>
          </w:p>
        </w:tc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Group CFO</w:t>
            </w:r>
          </w:p>
        </w:tc>
      </w:tr>
    </w:tbl>
    <w:p>
      <w:pPr>
        <w:spacing w:after="16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Companion evidence — cross-cutting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These items sit across multiple clauses and should be prepared once and referenced from each affected clause folder:</w:t>
      </w:r>
    </w:p>
    <w:tbl>
      <w:tblPr>
        <w:tblW w:type="dxa" w:w="8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000"/>
      </w:tblGrid>
      <w:tr>
        <w:trPr>
          <w:tblHeader/>
        </w:trPr>
        <w:tc>
          <w:tcPr>
            <w:tcW w:type="dxa" w:w="3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Companion evidence</w:t>
            </w:r>
          </w:p>
        </w:tc>
        <w:tc>
          <w:tcPr>
            <w:tcW w:type="dxa" w:w="50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Clauses that draw on it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Management representation letter (MRL)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Clauses (i), (ii), (iii), (v), (vii), (viii), (xi), (xv), (xvii), (xix)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Board minutes register — audit committee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Clauses (iv), (v), (x), (xi), (xiii), (xiv), (xviii), (xx)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Statutory dues master (TDS + GST + PF + ESI + PT)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Clauses (vii), (ix)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Related-party register (Section 2(76) + Ind AS 24)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Clauses (iii), (iv), (xiii)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Fixed assets register + physical verification report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Clauses (i), (xvii), (xix)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Working capital sanction letters + quarterly bank returns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Clauses (ii), (ix), (xix)</w:t>
            </w:r>
          </w:p>
        </w:tc>
      </w:tr>
    </w:tbl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Sign-off page (attach at the front of Folder 10_CARO_2020_Evidence)</w:t>
      </w:r>
    </w:p>
    <w:tbl>
      <w:tblPr>
        <w:tblW w:type="dxa" w:w="8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500"/>
        <w:gridCol w:w="2500"/>
      </w:tblGrid>
      <w:tr>
        <w:trPr>
          <w:tblHeader/>
        </w:trPr>
        <w:tc>
          <w:tcPr>
            <w:tcW w:type="dxa" w:w="3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Attestation</w:t>
            </w:r>
          </w:p>
        </w:tc>
        <w:tc>
          <w:tcPr>
            <w:tcW w:type="dxa" w:w="25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Signature (illustrative)</w:t>
            </w:r>
          </w:p>
        </w:tc>
        <w:tc>
          <w:tcPr>
            <w:tcW w:type="dxa" w:w="25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 confirm that CARO 2020 evidence for each applicable clause has been prepared in the folder tree and cross-referenced above.</w:t>
            </w:r>
          </w:p>
        </w:tc>
        <w:tc>
          <w:tcPr>
            <w:tcW w:type="dxa" w:w="25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[Preparer name]</w:t>
            </w:r>
          </w:p>
        </w:tc>
        <w:tc>
          <w:tcPr>
            <w:tcW w:type="dxa" w:w="25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[dd-mmm-yyyy]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 confirm that the evidence has been independently reviewed and that N/A clauses carry a documented reason.</w:t>
            </w:r>
          </w:p>
        </w:tc>
        <w:tc>
          <w:tcPr>
            <w:tcW w:type="dxa" w:w="25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[Reviewer name]</w:t>
            </w:r>
          </w:p>
        </w:tc>
        <w:tc>
          <w:tcPr>
            <w:tcW w:type="dxa" w:w="25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[dd-mmm-yyyy]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 confirm that the evidence has been approved for release to the statutory auditor.</w:t>
            </w:r>
          </w:p>
        </w:tc>
        <w:tc>
          <w:tcPr>
            <w:tcW w:type="dxa" w:w="25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[Approver — CFO]</w:t>
            </w:r>
          </w:p>
        </w:tc>
        <w:tc>
          <w:tcPr>
            <w:tcW w:type="dxa" w:w="25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[dd-mmm-yyyy]</w:t>
            </w:r>
          </w:p>
        </w:tc>
      </w:tr>
    </w:tbl>
    <w:p>
      <w:pPr>
        <w:spacing w:after="16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FFF4CE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3253C"/>
                <w:sz w:val="22"/>
                <w:szCs w:val="22"/>
              </w:rPr>
              <w:t xml:space="preserve">Cross-reference: this checklist is designed to be read alongside 03-ICFR-Control-Evidence-Checklist.docx (which supplies the operating-effectiveness evidence for Clause (vii) and (xiv)) and 05-Tax-Audit-Form-3CD-Preparation.docx (which supplies the Section 43B(h), 194Q, and 92BA evidence that Clauses (iii), (vii), and (xiii) draw on).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4A4A4A"/>
        <w:sz w:val="18"/>
        <w:szCs w:val="18"/>
      </w:rPr>
      <w:t xml:space="preserve">Illustrative template — customise before sending.  Terra Insight Editorial Team  |  Version 1.0  |  2026-08-16  |  Page </w:t>
    </w:r>
    <w:r>
      <w:rPr>
        <w:rFonts w:ascii="Calibri" w:cs="Calibri" w:eastAsia="Calibri" w:hAnsi="Calibri"/>
        <w:color w:val="4A4A4A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4A4A4A"/>
        <w:sz w:val="18"/>
        <w:szCs w:val="18"/>
      </w:rPr>
      <w:t xml:space="preserve"> of </w:t>
    </w:r>
    <w:r>
      <w:rPr>
        <w:rFonts w:ascii="Calibri" w:cs="Calibri" w:eastAsia="Calibri" w:hAnsi="Calibri"/>
        <w:color w:val="4A4A4A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6DEE8" w:sz="8" w:space="4"/>
      </w:pBdr>
    </w:pPr>
    <w:r>
      <w:rPr>
        <w:rFonts w:ascii="Helvetica" w:cs="Helvetica" w:eastAsia="Helvetica" w:hAnsi="Helvetica"/>
        <w:b/>
        <w:bCs/>
        <w:color w:val="1E3A5F"/>
        <w:sz w:val="20"/>
        <w:szCs w:val="20"/>
      </w:rPr>
      <w:t xml:space="preserve">Terra Insight</w:t>
    </w:r>
    <w:r>
      <w:rPr>
        <w:rFonts w:ascii="Helvetica" w:cs="Helvetica" w:eastAsia="Helvetica" w:hAnsi="Helvetica"/>
        <w:color w:val="4A4A4A"/>
        <w:sz w:val="20"/>
        <w:szCs w:val="20"/>
      </w:rPr>
      <w:t xml:space="preserve">  |  </w:t>
    </w:r>
    <w:r>
      <w:rPr>
        <w:rFonts w:ascii="Helvetica" w:cs="Helvetica" w:eastAsia="Helvetica" w:hAnsi="Helvetica"/>
        <w:color w:val="4A4A4A"/>
        <w:sz w:val="20"/>
        <w:szCs w:val="20"/>
      </w:rPr>
      <w:t xml:space="preserve">02 — CARO 2020 Evidence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60"/>
      </w:pPr>
    </w:lvl>
    <w:lvl w:ilvl="1" w15:tentative="1">
      <w:start w:val="1"/>
      <w:numFmt w:val="bullet"/>
      <w:lvlText w:val="◦"/>
      <w:lvlJc w:val="left"/>
      <w:pPr>
        <w:ind w:left="720" w:hanging="260"/>
      </w:pPr>
    </w:lvl>
    <w:lvl w:ilvl="2" w15:tentative="1">
      <w:start w:val="1"/>
      <w:numFmt w:val="bullet"/>
      <w:lvlText w:val="▪"/>
      <w:lvlJc w:val="left"/>
      <w:pPr>
        <w:ind w:left="108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pPr>
      <w:spacing w:after="120" w:line="300"/>
    </w:pPr>
    <w:rPr>
      <w:rFonts w:ascii="Calibri" w:cs="Calibri" w:eastAsia="Calibri" w:hAnsi="Calibri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— CARO 2020 Evidence Checklist</dc:title>
  <dc:creator>Terra Insight Editorial Team</dc:creator>
  <cp:lastModifiedBy>Un-named</cp:lastModifiedBy>
  <cp:revision>1</cp:revision>
  <dcterms:created xsi:type="dcterms:W3CDTF">2026-08-23T15:08:31.853Z</dcterms:created>
  <dcterms:modified xsi:type="dcterms:W3CDTF">2026-08-23T15:08:31.859Z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