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Bdr>
          <w:bottom w:val="single" w:color="1E3A5F" w:sz="12" w:space="4"/>
        </w:pBdr>
        <w:spacing w:after="160" w:before="320"/>
      </w:pPr>
      <w:r>
        <w:rPr>
          <w:rFonts w:ascii="Helvetica" w:cs="Helvetica" w:eastAsia="Helvetica" w:hAnsi="Helvetica"/>
          <w:b/>
          <w:bCs/>
          <w:color w:val="1E3A5F"/>
          <w:sz w:val="36"/>
          <w:szCs w:val="36"/>
        </w:rPr>
        <w:t xml:space="preserve">Working Papers Folder Structure</w:t>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shd w:fill="FFF4CE" w:color="auto" w:val="clear"/>
            <w:tcMar>
              <w:top w:type="dxa" w:w="160"/>
              <w:left w:type="dxa" w:w="200"/>
              <w:bottom w:type="dxa" w:w="160"/>
              <w:right w:type="dxa" w:w="200"/>
            </w:tcMar>
          </w:tcPr>
          <w:p>
            <w:r>
              <w:rPr>
                <w:rFonts w:ascii="Calibri" w:cs="Calibri" w:eastAsia="Calibri" w:hAnsi="Calibri"/>
                <w:b/>
                <w:bCs/>
                <w:color w:val="13253C"/>
                <w:sz w:val="22"/>
                <w:szCs w:val="22"/>
              </w:rPr>
              <w:t xml:space="preserve">Customise before sending. Replace [FY], [COMPANY NAME], [Bank1]/[Bank2], and the vendor placeholders inside each sub-folder with the entity’s own values. The tree below is the recommended baseline — extend, do not shrink.</w:t>
            </w:r>
          </w:p>
        </w:tc>
      </w:tr>
    </w:tbl>
    <w:p>
      <w:pPr>
        <w:spacing w:after="200" w:before="0"/>
      </w:pPr>
      <w:r>
        <w:rPr>
          <w:rFonts w:ascii="Calibri" w:cs="Calibri" w:eastAsia="Calibri" w:hAnsi="Calibri"/>
          <w:b w:val="false"/>
          <w:bCs w:val="false"/>
          <w:i w:val="false"/>
          <w:iCs w:val="false"/>
          <w:color w:val="000000"/>
          <w:sz w:val="22"/>
          <w:szCs w:val="22"/>
        </w:rPr>
        <w:t xml:space="preserve"/>
      </w:r>
    </w:p>
    <w:p>
      <w:pPr>
        <w:pStyle w:val="Heading2"/>
        <w:spacing w:after="120" w:before="240"/>
      </w:pPr>
      <w:r>
        <w:rPr>
          <w:rFonts w:ascii="Helvetica" w:cs="Helvetica" w:eastAsia="Helvetica" w:hAnsi="Helvetica"/>
          <w:b/>
          <w:bCs/>
          <w:color w:val="1E3A5F"/>
          <w:sz w:val="28"/>
          <w:szCs w:val="28"/>
        </w:rPr>
        <w:t xml:space="preserve">Purpose</w:t>
      </w:r>
    </w:p>
    <w:p>
      <w:pPr>
        <w:spacing w:after="120" w:before="0"/>
      </w:pPr>
      <w:r>
        <w:rPr>
          <w:rFonts w:ascii="Calibri" w:cs="Calibri" w:eastAsia="Calibri" w:hAnsi="Calibri"/>
          <w:b w:val="false"/>
          <w:bCs w:val="false"/>
          <w:i w:val="false"/>
          <w:iCs w:val="false"/>
          <w:color w:val="000000"/>
          <w:sz w:val="22"/>
          <w:szCs w:val="22"/>
        </w:rPr>
        <w:t xml:space="preserve">A single, predictable folder tree keeps statutory audit, tax audit, and internal audit teams pulling from the same evidence set. It reduces auditor rework, prevents "which version was signed?" ambiguity, and satisfies the </w:t>
      </w:r>
      <w:r>
        <w:rPr>
          <w:rFonts w:ascii="Calibri" w:cs="Calibri" w:eastAsia="Calibri" w:hAnsi="Calibri"/>
          <w:b/>
          <w:bCs/>
          <w:i w:val="false"/>
          <w:iCs w:val="false"/>
          <w:color w:val="000000"/>
          <w:sz w:val="22"/>
          <w:szCs w:val="22"/>
        </w:rPr>
        <w:t xml:space="preserve">8-year retention obligation </w:t>
      </w:r>
      <w:r>
        <w:rPr>
          <w:rFonts w:ascii="Calibri" w:cs="Calibri" w:eastAsia="Calibri" w:hAnsi="Calibri"/>
          <w:b w:val="false"/>
          <w:bCs w:val="false"/>
          <w:i w:val="false"/>
          <w:iCs w:val="false"/>
          <w:color w:val="000000"/>
          <w:sz w:val="22"/>
          <w:szCs w:val="22"/>
        </w:rPr>
        <w:t xml:space="preserve">imposed by Section 44AA read with Rule 6F, and Section 128(5) of the Companies Act 2013.</w:t>
      </w:r>
    </w:p>
    <w:p>
      <w:pPr>
        <w:pStyle w:val="Heading2"/>
        <w:spacing w:after="120" w:before="240"/>
      </w:pPr>
      <w:r>
        <w:rPr>
          <w:rFonts w:ascii="Helvetica" w:cs="Helvetica" w:eastAsia="Helvetica" w:hAnsi="Helvetica"/>
          <w:b/>
          <w:bCs/>
          <w:color w:val="1E3A5F"/>
          <w:sz w:val="28"/>
          <w:szCs w:val="28"/>
        </w:rPr>
        <w:t xml:space="preserve">Level 1–5 hierarchy</w:t>
      </w:r>
    </w:p>
    <w:p>
      <w:pPr>
        <w:spacing w:after="160" w:before="0"/>
      </w:pPr>
      <w:r>
        <w:rPr>
          <w:rFonts w:ascii="Calibri" w:cs="Calibri" w:eastAsia="Calibri" w:hAnsi="Calibri"/>
          <w:b w:val="false"/>
          <w:bCs w:val="false"/>
          <w:i/>
          <w:iCs/>
          <w:color w:val="000000"/>
          <w:sz w:val="22"/>
          <w:szCs w:val="22"/>
        </w:rPr>
        <w:t xml:space="preserve">Level 1 = FY root; Level 2 = evidence stream (10 streams below); Level 3 = clause/period folder; Level 4 = document type; Level 5 = individual named file. The tree renders in fixed-width font for readability.</w:t>
      </w:r>
    </w:p>
    <w:p>
      <w:pPr>
        <w:spacing w:after="20"/>
        <w:ind w:left="0"/>
      </w:pPr>
      <w:r>
        <w:rPr>
          <w:rFonts w:ascii="Consolas" w:cs="Consolas" w:eastAsia="Consolas" w:hAnsi="Consolas"/>
          <w:color w:val="13253C"/>
          <w:sz w:val="20"/>
          <w:szCs w:val="20"/>
        </w:rPr>
        <w:t xml:space="preserve">00_[FY]_Statutory_Audit/</w:t>
      </w:r>
    </w:p>
    <w:p>
      <w:pPr>
        <w:spacing w:after="20"/>
        <w:ind w:left="240"/>
      </w:pPr>
      <w:r>
        <w:rPr>
          <w:rFonts w:ascii="Consolas" w:cs="Consolas" w:eastAsia="Consolas" w:hAnsi="Consolas"/>
          <w:color w:val="13253C"/>
          <w:sz w:val="20"/>
          <w:szCs w:val="20"/>
        </w:rPr>
        <w:t xml:space="preserve">├── 1_Compliance_Master/</w:t>
      </w:r>
    </w:p>
    <w:p>
      <w:pPr>
        <w:spacing w:after="20"/>
        <w:ind w:left="480"/>
      </w:pPr>
      <w:r>
        <w:rPr>
          <w:rFonts w:ascii="Consolas" w:cs="Consolas" w:eastAsia="Consolas" w:hAnsi="Consolas"/>
          <w:color w:val="13253C"/>
          <w:sz w:val="20"/>
          <w:szCs w:val="20"/>
        </w:rPr>
        <w:t xml:space="preserve">│   ├── 1.1_Statute_Anchors/</w:t>
      </w:r>
    </w:p>
    <w:p>
      <w:pPr>
        <w:spacing w:after="20"/>
        <w:ind w:left="720"/>
      </w:pPr>
      <w:r>
        <w:rPr>
          <w:rFonts w:ascii="Consolas" w:cs="Consolas" w:eastAsia="Consolas" w:hAnsi="Consolas"/>
          <w:color w:val="13253C"/>
          <w:sz w:val="20"/>
          <w:szCs w:val="20"/>
        </w:rPr>
        <w:t xml:space="preserve">│   │   ├── Companies_Act_2013_extracts.pdf</w:t>
      </w:r>
    </w:p>
    <w:p>
      <w:pPr>
        <w:spacing w:after="20"/>
        <w:ind w:left="720"/>
      </w:pPr>
      <w:r>
        <w:rPr>
          <w:rFonts w:ascii="Consolas" w:cs="Consolas" w:eastAsia="Consolas" w:hAnsi="Consolas"/>
          <w:color w:val="13253C"/>
          <w:sz w:val="20"/>
          <w:szCs w:val="20"/>
        </w:rPr>
        <w:t xml:space="preserve">│   │   ├── Income_Tax_Act_1961_Section_43B_h.pdf</w:t>
      </w:r>
    </w:p>
    <w:p>
      <w:pPr>
        <w:spacing w:after="20"/>
        <w:ind w:left="720"/>
      </w:pPr>
      <w:r>
        <w:rPr>
          <w:rFonts w:ascii="Consolas" w:cs="Consolas" w:eastAsia="Consolas" w:hAnsi="Consolas"/>
          <w:color w:val="13253C"/>
          <w:sz w:val="20"/>
          <w:szCs w:val="20"/>
        </w:rPr>
        <w:t xml:space="preserve">│   │   ├── CGST_Act_2017_Section_16_37_38_39.pdf</w:t>
      </w:r>
    </w:p>
    <w:p>
      <w:pPr>
        <w:spacing w:after="20"/>
        <w:ind w:left="720"/>
      </w:pPr>
      <w:r>
        <w:rPr>
          <w:rFonts w:ascii="Consolas" w:cs="Consolas" w:eastAsia="Consolas" w:hAnsi="Consolas"/>
          <w:color w:val="13253C"/>
          <w:sz w:val="20"/>
          <w:szCs w:val="20"/>
        </w:rPr>
        <w:t xml:space="preserve">│   │   └── SA_700_705_706_ICAI_extracts.pdf</w:t>
      </w:r>
    </w:p>
    <w:p>
      <w:pPr>
        <w:spacing w:after="20"/>
        <w:ind w:left="480"/>
      </w:pPr>
      <w:r>
        <w:rPr>
          <w:rFonts w:ascii="Consolas" w:cs="Consolas" w:eastAsia="Consolas" w:hAnsi="Consolas"/>
          <w:color w:val="13253C"/>
          <w:sz w:val="20"/>
          <w:szCs w:val="20"/>
        </w:rPr>
        <w:t xml:space="preserve">│   ├── 1.2_Amendments_Applicable_to_FY/</w:t>
      </w:r>
    </w:p>
    <w:p>
      <w:pPr>
        <w:spacing w:after="20"/>
        <w:ind w:left="720"/>
      </w:pPr>
      <w:r>
        <w:rPr>
          <w:rFonts w:ascii="Consolas" w:cs="Consolas" w:eastAsia="Consolas" w:hAnsi="Consolas"/>
          <w:color w:val="13253C"/>
          <w:sz w:val="20"/>
          <w:szCs w:val="20"/>
        </w:rPr>
        <w:t xml:space="preserve">│   │   ├── Finance_Act_2025_amendments_summary.docx</w:t>
      </w:r>
    </w:p>
    <w:p>
      <w:pPr>
        <w:spacing w:after="20"/>
        <w:ind w:left="720"/>
      </w:pPr>
      <w:r>
        <w:rPr>
          <w:rFonts w:ascii="Consolas" w:cs="Consolas" w:eastAsia="Consolas" w:hAnsi="Consolas"/>
          <w:color w:val="13253C"/>
          <w:sz w:val="20"/>
          <w:szCs w:val="20"/>
        </w:rPr>
        <w:t xml:space="preserve">│   │   ├── CBDT_circulars_FY_register.xlsx</w:t>
      </w:r>
    </w:p>
    <w:p>
      <w:pPr>
        <w:spacing w:after="20"/>
        <w:ind w:left="720"/>
      </w:pPr>
      <w:r>
        <w:rPr>
          <w:rFonts w:ascii="Consolas" w:cs="Consolas" w:eastAsia="Consolas" w:hAnsi="Consolas"/>
          <w:color w:val="13253C"/>
          <w:sz w:val="20"/>
          <w:szCs w:val="20"/>
        </w:rPr>
        <w:t xml:space="preserve">│   │   └── CBIC_notifications_FY_register.xlsx</w:t>
      </w:r>
    </w:p>
    <w:p>
      <w:pPr>
        <w:spacing w:after="20"/>
        <w:ind w:left="480"/>
      </w:pPr>
      <w:r>
        <w:rPr>
          <w:rFonts w:ascii="Consolas" w:cs="Consolas" w:eastAsia="Consolas" w:hAnsi="Consolas"/>
          <w:color w:val="13253C"/>
          <w:sz w:val="20"/>
          <w:szCs w:val="20"/>
        </w:rPr>
        <w:t xml:space="preserve">│   └── 1.3_ICAI_Auditing_Standards_index.xlsx</w:t>
      </w:r>
    </w:p>
    <w:p>
      <w:pPr>
        <w:spacing w:after="20"/>
        <w:ind w:left="240"/>
      </w:pPr>
      <w:r>
        <w:rPr>
          <w:rFonts w:ascii="Consolas" w:cs="Consolas" w:eastAsia="Consolas" w:hAnsi="Consolas"/>
          <w:color w:val="13253C"/>
          <w:sz w:val="20"/>
          <w:szCs w:val="20"/>
        </w:rPr>
        <w:t xml:space="preserve">│</w:t>
      </w:r>
    </w:p>
    <w:p>
      <w:pPr>
        <w:spacing w:after="20"/>
        <w:ind w:left="240"/>
      </w:pPr>
      <w:r>
        <w:rPr>
          <w:rFonts w:ascii="Consolas" w:cs="Consolas" w:eastAsia="Consolas" w:hAnsi="Consolas"/>
          <w:color w:val="13253C"/>
          <w:sz w:val="20"/>
          <w:szCs w:val="20"/>
        </w:rPr>
        <w:t xml:space="preserve">├── 2_Bank_Reconciliation_Working_Papers/</w:t>
      </w:r>
    </w:p>
    <w:p>
      <w:pPr>
        <w:spacing w:after="20"/>
        <w:ind w:left="480"/>
      </w:pPr>
      <w:r>
        <w:rPr>
          <w:rFonts w:ascii="Consolas" w:cs="Consolas" w:eastAsia="Consolas" w:hAnsi="Consolas"/>
          <w:color w:val="13253C"/>
          <w:sz w:val="20"/>
          <w:szCs w:val="20"/>
        </w:rPr>
        <w:t xml:space="preserve">│   ├── 2.01_April/</w:t>
      </w:r>
    </w:p>
    <w:p>
      <w:pPr>
        <w:spacing w:after="20"/>
        <w:ind w:left="720"/>
      </w:pPr>
      <w:r>
        <w:rPr>
          <w:rFonts w:ascii="Consolas" w:cs="Consolas" w:eastAsia="Consolas" w:hAnsi="Consolas"/>
          <w:color w:val="13253C"/>
          <w:sz w:val="20"/>
          <w:szCs w:val="20"/>
        </w:rPr>
        <w:t xml:space="preserve">│   │   ├── BRS_April_[Bank1]_[FY].xlsx</w:t>
      </w:r>
    </w:p>
    <w:p>
      <w:pPr>
        <w:spacing w:after="20"/>
        <w:ind w:left="720"/>
      </w:pPr>
      <w:r>
        <w:rPr>
          <w:rFonts w:ascii="Consolas" w:cs="Consolas" w:eastAsia="Consolas" w:hAnsi="Consolas"/>
          <w:color w:val="13253C"/>
          <w:sz w:val="20"/>
          <w:szCs w:val="20"/>
        </w:rPr>
        <w:t xml:space="preserve">│   │   ├── BRS_April_[Bank2]_[FY].xlsx</w:t>
      </w:r>
    </w:p>
    <w:p>
      <w:pPr>
        <w:spacing w:after="20"/>
        <w:ind w:left="720"/>
      </w:pPr>
      <w:r>
        <w:rPr>
          <w:rFonts w:ascii="Consolas" w:cs="Consolas" w:eastAsia="Consolas" w:hAnsi="Consolas"/>
          <w:color w:val="13253C"/>
          <w:sz w:val="20"/>
          <w:szCs w:val="20"/>
        </w:rPr>
        <w:t xml:space="preserve">│   │   ├── Bank_statement_April.pdf</w:t>
      </w:r>
    </w:p>
    <w:p>
      <w:pPr>
        <w:spacing w:after="20"/>
        <w:ind w:left="720"/>
      </w:pPr>
      <w:r>
        <w:rPr>
          <w:rFonts w:ascii="Consolas" w:cs="Consolas" w:eastAsia="Consolas" w:hAnsi="Consolas"/>
          <w:color w:val="13253C"/>
          <w:sz w:val="20"/>
          <w:szCs w:val="20"/>
        </w:rPr>
        <w:t xml:space="preserve">│   │   └── Unreconciled_items_ageing_April.xlsx</w:t>
      </w:r>
    </w:p>
    <w:p>
      <w:pPr>
        <w:spacing w:after="20"/>
        <w:ind w:left="480"/>
      </w:pPr>
      <w:r>
        <w:rPr>
          <w:rFonts w:ascii="Consolas" w:cs="Consolas" w:eastAsia="Consolas" w:hAnsi="Consolas"/>
          <w:color w:val="13253C"/>
          <w:sz w:val="20"/>
          <w:szCs w:val="20"/>
        </w:rPr>
        <w:t xml:space="preserve">│   ├── 2.02_May/  … 2.12_March/  (one folder per calendar month)</w:t>
      </w:r>
    </w:p>
    <w:p>
      <w:pPr>
        <w:spacing w:after="20"/>
        <w:ind w:left="480"/>
      </w:pPr>
      <w:r>
        <w:rPr>
          <w:rFonts w:ascii="Consolas" w:cs="Consolas" w:eastAsia="Consolas" w:hAnsi="Consolas"/>
          <w:color w:val="13253C"/>
          <w:sz w:val="20"/>
          <w:szCs w:val="20"/>
        </w:rPr>
        <w:t xml:space="preserve">│   ├── 2.13_Year_End_Consolidated_BRS/</w:t>
      </w:r>
    </w:p>
    <w:p>
      <w:pPr>
        <w:spacing w:after="20"/>
        <w:ind w:left="720"/>
      </w:pPr>
      <w:r>
        <w:rPr>
          <w:rFonts w:ascii="Consolas" w:cs="Consolas" w:eastAsia="Consolas" w:hAnsi="Consolas"/>
          <w:color w:val="13253C"/>
          <w:sz w:val="20"/>
          <w:szCs w:val="20"/>
        </w:rPr>
        <w:t xml:space="preserve">│   │   ├── Consolidated_BRS_[FY].xlsx</w:t>
      </w:r>
    </w:p>
    <w:p>
      <w:pPr>
        <w:spacing w:after="20"/>
        <w:ind w:left="720"/>
      </w:pPr>
      <w:r>
        <w:rPr>
          <w:rFonts w:ascii="Consolas" w:cs="Consolas" w:eastAsia="Consolas" w:hAnsi="Consolas"/>
          <w:color w:val="13253C"/>
          <w:sz w:val="20"/>
          <w:szCs w:val="20"/>
        </w:rPr>
        <w:t xml:space="preserve">│   │   ├── Unreconciled_items_ageing_year_end.xlsx</w:t>
      </w:r>
    </w:p>
    <w:p>
      <w:pPr>
        <w:spacing w:after="20"/>
        <w:ind w:left="720"/>
      </w:pPr>
      <w:r>
        <w:rPr>
          <w:rFonts w:ascii="Consolas" w:cs="Consolas" w:eastAsia="Consolas" w:hAnsi="Consolas"/>
          <w:color w:val="13253C"/>
          <w:sz w:val="20"/>
          <w:szCs w:val="20"/>
        </w:rPr>
        <w:t xml:space="preserve">│   │   └── Confirmation_letters_from_banks.pdf</w:t>
      </w:r>
    </w:p>
    <w:p>
      <w:pPr>
        <w:spacing w:after="20"/>
        <w:ind w:left="480"/>
      </w:pPr>
      <w:r>
        <w:rPr>
          <w:rFonts w:ascii="Consolas" w:cs="Consolas" w:eastAsia="Consolas" w:hAnsi="Consolas"/>
          <w:color w:val="13253C"/>
          <w:sz w:val="20"/>
          <w:szCs w:val="20"/>
        </w:rPr>
        <w:t xml:space="preserve">│   └── 2.14_Bank_confirmation_register.xlsx</w:t>
      </w:r>
    </w:p>
    <w:p>
      <w:pPr>
        <w:spacing w:after="20"/>
        <w:ind w:left="240"/>
      </w:pPr>
      <w:r>
        <w:rPr>
          <w:rFonts w:ascii="Consolas" w:cs="Consolas" w:eastAsia="Consolas" w:hAnsi="Consolas"/>
          <w:color w:val="13253C"/>
          <w:sz w:val="20"/>
          <w:szCs w:val="20"/>
        </w:rPr>
        <w:t xml:space="preserve">│</w:t>
      </w:r>
    </w:p>
    <w:p>
      <w:pPr>
        <w:spacing w:after="20"/>
        <w:ind w:left="240"/>
      </w:pPr>
      <w:r>
        <w:rPr>
          <w:rFonts w:ascii="Consolas" w:cs="Consolas" w:eastAsia="Consolas" w:hAnsi="Consolas"/>
          <w:color w:val="13253C"/>
          <w:sz w:val="20"/>
          <w:szCs w:val="20"/>
        </w:rPr>
        <w:t xml:space="preserve">├── 3_TDS_Working_Papers/</w:t>
      </w:r>
    </w:p>
    <w:p>
      <w:pPr>
        <w:spacing w:after="20"/>
        <w:ind w:left="480"/>
      </w:pPr>
      <w:r>
        <w:rPr>
          <w:rFonts w:ascii="Consolas" w:cs="Consolas" w:eastAsia="Consolas" w:hAnsi="Consolas"/>
          <w:color w:val="13253C"/>
          <w:sz w:val="20"/>
          <w:szCs w:val="20"/>
        </w:rPr>
        <w:t xml:space="preserve">│   ├── 3.1_Form_168_Quarterly/</w:t>
      </w:r>
    </w:p>
    <w:p>
      <w:pPr>
        <w:spacing w:after="20"/>
        <w:ind w:left="720"/>
      </w:pPr>
      <w:r>
        <w:rPr>
          <w:rFonts w:ascii="Consolas" w:cs="Consolas" w:eastAsia="Consolas" w:hAnsi="Consolas"/>
          <w:color w:val="13253C"/>
          <w:sz w:val="20"/>
          <w:szCs w:val="20"/>
        </w:rPr>
        <w:t xml:space="preserve">│   │   ├── Form_168_Q1_[FY].pdf</w:t>
      </w:r>
    </w:p>
    <w:p>
      <w:pPr>
        <w:spacing w:after="20"/>
        <w:ind w:left="720"/>
      </w:pPr>
      <w:r>
        <w:rPr>
          <w:rFonts w:ascii="Consolas" w:cs="Consolas" w:eastAsia="Consolas" w:hAnsi="Consolas"/>
          <w:color w:val="13253C"/>
          <w:sz w:val="20"/>
          <w:szCs w:val="20"/>
        </w:rPr>
        <w:t xml:space="preserve">│   │   ├── Form_168_Q2_[FY].pdf</w:t>
      </w:r>
    </w:p>
    <w:p>
      <w:pPr>
        <w:spacing w:after="20"/>
        <w:ind w:left="720"/>
      </w:pPr>
      <w:r>
        <w:rPr>
          <w:rFonts w:ascii="Consolas" w:cs="Consolas" w:eastAsia="Consolas" w:hAnsi="Consolas"/>
          <w:color w:val="13253C"/>
          <w:sz w:val="20"/>
          <w:szCs w:val="20"/>
        </w:rPr>
        <w:t xml:space="preserve">│   │   ├── Form_168_Q3_[FY].pdf</w:t>
      </w:r>
    </w:p>
    <w:p>
      <w:pPr>
        <w:spacing w:after="20"/>
        <w:ind w:left="720"/>
      </w:pPr>
      <w:r>
        <w:rPr>
          <w:rFonts w:ascii="Consolas" w:cs="Consolas" w:eastAsia="Consolas" w:hAnsi="Consolas"/>
          <w:color w:val="13253C"/>
          <w:sz w:val="20"/>
          <w:szCs w:val="20"/>
        </w:rPr>
        <w:t xml:space="preserve">│   │   └── Form_168_Q4_[FY].pdf</w:t>
      </w:r>
    </w:p>
    <w:p>
      <w:pPr>
        <w:spacing w:after="20"/>
        <w:ind w:left="480"/>
      </w:pPr>
      <w:r>
        <w:rPr>
          <w:rFonts w:ascii="Consolas" w:cs="Consolas" w:eastAsia="Consolas" w:hAnsi="Consolas"/>
          <w:color w:val="13253C"/>
          <w:sz w:val="20"/>
          <w:szCs w:val="20"/>
        </w:rPr>
        <w:t xml:space="preserve">│   ├── 3.2_Form_131_Annual/</w:t>
      </w:r>
    </w:p>
    <w:p>
      <w:pPr>
        <w:spacing w:after="20"/>
        <w:ind w:left="720"/>
      </w:pPr>
      <w:r>
        <w:rPr>
          <w:rFonts w:ascii="Consolas" w:cs="Consolas" w:eastAsia="Consolas" w:hAnsi="Consolas"/>
          <w:color w:val="13253C"/>
          <w:sz w:val="20"/>
          <w:szCs w:val="20"/>
        </w:rPr>
        <w:t xml:space="preserve">│   │   └── Form_131_[FY]_signed.pdf</w:t>
      </w:r>
    </w:p>
    <w:p>
      <w:pPr>
        <w:spacing w:after="20"/>
        <w:ind w:left="480"/>
      </w:pPr>
      <w:r>
        <w:rPr>
          <w:rFonts w:ascii="Consolas" w:cs="Consolas" w:eastAsia="Consolas" w:hAnsi="Consolas"/>
          <w:color w:val="13253C"/>
          <w:sz w:val="20"/>
          <w:szCs w:val="20"/>
        </w:rPr>
        <w:t xml:space="preserve">│   ├── 3.3_Section_200A_Demand_Register.xlsx</w:t>
      </w:r>
    </w:p>
    <w:p>
      <w:pPr>
        <w:spacing w:after="20"/>
        <w:ind w:left="480"/>
      </w:pPr>
      <w:r>
        <w:rPr>
          <w:rFonts w:ascii="Consolas" w:cs="Consolas" w:eastAsia="Consolas" w:hAnsi="Consolas"/>
          <w:color w:val="13253C"/>
          <w:sz w:val="20"/>
          <w:szCs w:val="20"/>
        </w:rPr>
        <w:t xml:space="preserve">│   ├── 3.4_26AS_reconciliation_[FY].xlsx</w:t>
      </w:r>
    </w:p>
    <w:p>
      <w:pPr>
        <w:spacing w:after="20"/>
        <w:ind w:left="480"/>
      </w:pPr>
      <w:r>
        <w:rPr>
          <w:rFonts w:ascii="Consolas" w:cs="Consolas" w:eastAsia="Consolas" w:hAnsi="Consolas"/>
          <w:color w:val="13253C"/>
          <w:sz w:val="20"/>
          <w:szCs w:val="20"/>
        </w:rPr>
        <w:t xml:space="preserve">│   ├── 3.5_TDS_Receivable_Ageing.xlsx</w:t>
      </w:r>
    </w:p>
    <w:p>
      <w:pPr>
        <w:spacing w:after="20"/>
        <w:ind w:left="480"/>
      </w:pPr>
      <w:r>
        <w:rPr>
          <w:rFonts w:ascii="Consolas" w:cs="Consolas" w:eastAsia="Consolas" w:hAnsi="Consolas"/>
          <w:color w:val="13253C"/>
          <w:sz w:val="20"/>
          <w:szCs w:val="20"/>
        </w:rPr>
        <w:t xml:space="preserve">│   └── 3.6_Section_194_variant_wise_summary.xlsx</w:t>
      </w:r>
    </w:p>
    <w:p>
      <w:pPr>
        <w:spacing w:after="20"/>
        <w:ind w:left="240"/>
      </w:pPr>
      <w:r>
        <w:rPr>
          <w:rFonts w:ascii="Consolas" w:cs="Consolas" w:eastAsia="Consolas" w:hAnsi="Consolas"/>
          <w:color w:val="13253C"/>
          <w:sz w:val="20"/>
          <w:szCs w:val="20"/>
        </w:rPr>
        <w:t xml:space="preserve">│</w:t>
      </w:r>
    </w:p>
    <w:p>
      <w:pPr>
        <w:spacing w:after="20"/>
        <w:ind w:left="240"/>
      </w:pPr>
      <w:r>
        <w:rPr>
          <w:rFonts w:ascii="Consolas" w:cs="Consolas" w:eastAsia="Consolas" w:hAnsi="Consolas"/>
          <w:color w:val="13253C"/>
          <w:sz w:val="20"/>
          <w:szCs w:val="20"/>
        </w:rPr>
        <w:t xml:space="preserve">├── 4_GST_Working_Papers/</w:t>
      </w:r>
    </w:p>
    <w:p>
      <w:pPr>
        <w:spacing w:after="20"/>
        <w:ind w:left="480"/>
      </w:pPr>
      <w:r>
        <w:rPr>
          <w:rFonts w:ascii="Consolas" w:cs="Consolas" w:eastAsia="Consolas" w:hAnsi="Consolas"/>
          <w:color w:val="13253C"/>
          <w:sz w:val="20"/>
          <w:szCs w:val="20"/>
        </w:rPr>
        <w:t xml:space="preserve">│   ├── 4.1_GSTR-1_Filed/</w:t>
      </w:r>
    </w:p>
    <w:p>
      <w:pPr>
        <w:spacing w:after="20"/>
        <w:ind w:left="720"/>
      </w:pPr>
      <w:r>
        <w:rPr>
          <w:rFonts w:ascii="Consolas" w:cs="Consolas" w:eastAsia="Consolas" w:hAnsi="Consolas"/>
          <w:color w:val="13253C"/>
          <w:sz w:val="20"/>
          <w:szCs w:val="20"/>
        </w:rPr>
        <w:t xml:space="preserve">│   │   ├── GSTR-1_M01_[FY].json  … GSTR-1_M12_[FY].json</w:t>
      </w:r>
    </w:p>
    <w:p>
      <w:pPr>
        <w:spacing w:after="20"/>
        <w:ind w:left="720"/>
      </w:pPr>
      <w:r>
        <w:rPr>
          <w:rFonts w:ascii="Consolas" w:cs="Consolas" w:eastAsia="Consolas" w:hAnsi="Consolas"/>
          <w:color w:val="13253C"/>
          <w:sz w:val="20"/>
          <w:szCs w:val="20"/>
        </w:rPr>
        <w:t xml:space="preserve">│   │   └── B2B_B2C_supplies_reconciliation.xlsx</w:t>
      </w:r>
    </w:p>
    <w:p>
      <w:pPr>
        <w:spacing w:after="20"/>
        <w:ind w:left="480"/>
      </w:pPr>
      <w:r>
        <w:rPr>
          <w:rFonts w:ascii="Consolas" w:cs="Consolas" w:eastAsia="Consolas" w:hAnsi="Consolas"/>
          <w:color w:val="13253C"/>
          <w:sz w:val="20"/>
          <w:szCs w:val="20"/>
        </w:rPr>
        <w:t xml:space="preserve">│   ├── 4.2_GSTR-2B_Downloads/</w:t>
      </w:r>
    </w:p>
    <w:p>
      <w:pPr>
        <w:spacing w:after="20"/>
        <w:ind w:left="720"/>
      </w:pPr>
      <w:r>
        <w:rPr>
          <w:rFonts w:ascii="Consolas" w:cs="Consolas" w:eastAsia="Consolas" w:hAnsi="Consolas"/>
          <w:color w:val="13253C"/>
          <w:sz w:val="20"/>
          <w:szCs w:val="20"/>
        </w:rPr>
        <w:t xml:space="preserve">│   │   ├── GSTR-2B_M01_[FY].json  … GSTR-2B_M12_[FY].json</w:t>
      </w:r>
    </w:p>
    <w:p>
      <w:pPr>
        <w:spacing w:after="20"/>
        <w:ind w:left="720"/>
      </w:pPr>
      <w:r>
        <w:rPr>
          <w:rFonts w:ascii="Consolas" w:cs="Consolas" w:eastAsia="Consolas" w:hAnsi="Consolas"/>
          <w:color w:val="13253C"/>
          <w:sz w:val="20"/>
          <w:szCs w:val="20"/>
        </w:rPr>
        <w:t xml:space="preserve">│   │   └── Three-way_GSTR-1_2B_3B_reconciliation.xlsx</w:t>
      </w:r>
    </w:p>
    <w:p>
      <w:pPr>
        <w:spacing w:after="20"/>
        <w:ind w:left="480"/>
      </w:pPr>
      <w:r>
        <w:rPr>
          <w:rFonts w:ascii="Consolas" w:cs="Consolas" w:eastAsia="Consolas" w:hAnsi="Consolas"/>
          <w:color w:val="13253C"/>
          <w:sz w:val="20"/>
          <w:szCs w:val="20"/>
        </w:rPr>
        <w:t xml:space="preserve">│   ├── 4.3_GSTR-3B_Filed/</w:t>
      </w:r>
    </w:p>
    <w:p>
      <w:pPr>
        <w:spacing w:after="20"/>
        <w:ind w:left="720"/>
      </w:pPr>
      <w:r>
        <w:rPr>
          <w:rFonts w:ascii="Consolas" w:cs="Consolas" w:eastAsia="Consolas" w:hAnsi="Consolas"/>
          <w:color w:val="13253C"/>
          <w:sz w:val="20"/>
          <w:szCs w:val="20"/>
        </w:rPr>
        <w:t xml:space="preserve">│   │   └── GSTR-3B_M01_[FY].pdf  … GSTR-3B_M12_[FY].pdf</w:t>
      </w:r>
    </w:p>
    <w:p>
      <w:pPr>
        <w:spacing w:after="20"/>
        <w:ind w:left="480"/>
      </w:pPr>
      <w:r>
        <w:rPr>
          <w:rFonts w:ascii="Consolas" w:cs="Consolas" w:eastAsia="Consolas" w:hAnsi="Consolas"/>
          <w:color w:val="13253C"/>
          <w:sz w:val="20"/>
          <w:szCs w:val="20"/>
        </w:rPr>
        <w:t xml:space="preserve">│   ├── 4.4_GSTR-9_Annual_Return/</w:t>
      </w:r>
    </w:p>
    <w:p>
      <w:pPr>
        <w:spacing w:after="20"/>
        <w:ind w:left="720"/>
      </w:pPr>
      <w:r>
        <w:rPr>
          <w:rFonts w:ascii="Consolas" w:cs="Consolas" w:eastAsia="Consolas" w:hAnsi="Consolas"/>
          <w:color w:val="13253C"/>
          <w:sz w:val="20"/>
          <w:szCs w:val="20"/>
        </w:rPr>
        <w:t xml:space="preserve">│   │   ├── GSTR-9_[FY]_working.xlsx</w:t>
      </w:r>
    </w:p>
    <w:p>
      <w:pPr>
        <w:spacing w:after="20"/>
        <w:ind w:left="720"/>
      </w:pPr>
      <w:r>
        <w:rPr>
          <w:rFonts w:ascii="Consolas" w:cs="Consolas" w:eastAsia="Consolas" w:hAnsi="Consolas"/>
          <w:color w:val="13253C"/>
          <w:sz w:val="20"/>
          <w:szCs w:val="20"/>
        </w:rPr>
        <w:t xml:space="preserve">│   │   └── GSTR-9_[FY]_filed.pdf</w:t>
      </w:r>
    </w:p>
    <w:p>
      <w:pPr>
        <w:spacing w:after="20"/>
        <w:ind w:left="480"/>
      </w:pPr>
      <w:r>
        <w:rPr>
          <w:rFonts w:ascii="Consolas" w:cs="Consolas" w:eastAsia="Consolas" w:hAnsi="Consolas"/>
          <w:color w:val="13253C"/>
          <w:sz w:val="20"/>
          <w:szCs w:val="20"/>
        </w:rPr>
        <w:t xml:space="preserve">│   ├── 4.5_GSTR-9C_Reconciliation_Statement/</w:t>
      </w:r>
    </w:p>
    <w:p>
      <w:pPr>
        <w:spacing w:after="20"/>
        <w:ind w:left="720"/>
      </w:pPr>
      <w:r>
        <w:rPr>
          <w:rFonts w:ascii="Consolas" w:cs="Consolas" w:eastAsia="Consolas" w:hAnsi="Consolas"/>
          <w:color w:val="13253C"/>
          <w:sz w:val="20"/>
          <w:szCs w:val="20"/>
        </w:rPr>
        <w:t xml:space="preserve">│   │   ├── GSTR-9C_[FY]_reconciliation.xlsx</w:t>
      </w:r>
    </w:p>
    <w:p>
      <w:pPr>
        <w:spacing w:after="20"/>
        <w:ind w:left="720"/>
      </w:pPr>
      <w:r>
        <w:rPr>
          <w:rFonts w:ascii="Consolas" w:cs="Consolas" w:eastAsia="Consolas" w:hAnsi="Consolas"/>
          <w:color w:val="13253C"/>
          <w:sz w:val="20"/>
          <w:szCs w:val="20"/>
        </w:rPr>
        <w:t xml:space="preserve">│   │   └── GSTR-9C_[FY]_certification.pdf</w:t>
      </w:r>
    </w:p>
    <w:p>
      <w:pPr>
        <w:spacing w:after="20"/>
        <w:ind w:left="480"/>
      </w:pPr>
      <w:r>
        <w:rPr>
          <w:rFonts w:ascii="Consolas" w:cs="Consolas" w:eastAsia="Consolas" w:hAnsi="Consolas"/>
          <w:color w:val="13253C"/>
          <w:sz w:val="20"/>
          <w:szCs w:val="20"/>
        </w:rPr>
        <w:t xml:space="preserve">│   ├── 4.6_IMS_Action_Logs/</w:t>
      </w:r>
    </w:p>
    <w:p>
      <w:pPr>
        <w:spacing w:after="20"/>
        <w:ind w:left="720"/>
      </w:pPr>
      <w:r>
        <w:rPr>
          <w:rFonts w:ascii="Consolas" w:cs="Consolas" w:eastAsia="Consolas" w:hAnsi="Consolas"/>
          <w:color w:val="13253C"/>
          <w:sz w:val="20"/>
          <w:szCs w:val="20"/>
        </w:rPr>
        <w:t xml:space="preserve">│   │   └── IMS_accept_reject_pending_log.xlsx</w:t>
      </w:r>
    </w:p>
    <w:p>
      <w:pPr>
        <w:spacing w:after="20"/>
        <w:ind w:left="480"/>
      </w:pPr>
      <w:r>
        <w:rPr>
          <w:rFonts w:ascii="Consolas" w:cs="Consolas" w:eastAsia="Consolas" w:hAnsi="Consolas"/>
          <w:color w:val="13253C"/>
          <w:sz w:val="20"/>
          <w:szCs w:val="20"/>
        </w:rPr>
        <w:t xml:space="preserve">│   └── 4.7_DRC-01B_01C_Notices_Register.xlsx</w:t>
      </w:r>
    </w:p>
    <w:p>
      <w:pPr>
        <w:spacing w:after="20"/>
        <w:ind w:left="240"/>
      </w:pPr>
      <w:r>
        <w:rPr>
          <w:rFonts w:ascii="Consolas" w:cs="Consolas" w:eastAsia="Consolas" w:hAnsi="Consolas"/>
          <w:color w:val="13253C"/>
          <w:sz w:val="20"/>
          <w:szCs w:val="20"/>
        </w:rPr>
        <w:t xml:space="preserve">│</w:t>
      </w:r>
    </w:p>
    <w:p>
      <w:pPr>
        <w:spacing w:after="20"/>
        <w:ind w:left="240"/>
      </w:pPr>
      <w:r>
        <w:rPr>
          <w:rFonts w:ascii="Consolas" w:cs="Consolas" w:eastAsia="Consolas" w:hAnsi="Consolas"/>
          <w:color w:val="13253C"/>
          <w:sz w:val="20"/>
          <w:szCs w:val="20"/>
        </w:rPr>
        <w:t xml:space="preserve">├── 5_Fixed_Assets/</w:t>
      </w:r>
    </w:p>
    <w:p>
      <w:pPr>
        <w:spacing w:after="20"/>
        <w:ind w:left="480"/>
      </w:pPr>
      <w:r>
        <w:rPr>
          <w:rFonts w:ascii="Consolas" w:cs="Consolas" w:eastAsia="Consolas" w:hAnsi="Consolas"/>
          <w:color w:val="13253C"/>
          <w:sz w:val="20"/>
          <w:szCs w:val="20"/>
        </w:rPr>
        <w:t xml:space="preserve">│   ├── 5.1_Section_32_Depreciation/</w:t>
      </w:r>
    </w:p>
    <w:p>
      <w:pPr>
        <w:spacing w:after="20"/>
        <w:ind w:left="720"/>
      </w:pPr>
      <w:r>
        <w:rPr>
          <w:rFonts w:ascii="Consolas" w:cs="Consolas" w:eastAsia="Consolas" w:hAnsi="Consolas"/>
          <w:color w:val="13253C"/>
          <w:sz w:val="20"/>
          <w:szCs w:val="20"/>
        </w:rPr>
        <w:t xml:space="preserve">│   │   ├── Block_of_assets_register_[FY].xlsx</w:t>
      </w:r>
    </w:p>
    <w:p>
      <w:pPr>
        <w:spacing w:after="20"/>
        <w:ind w:left="720"/>
      </w:pPr>
      <w:r>
        <w:rPr>
          <w:rFonts w:ascii="Consolas" w:cs="Consolas" w:eastAsia="Consolas" w:hAnsi="Consolas"/>
          <w:color w:val="13253C"/>
          <w:sz w:val="20"/>
          <w:szCs w:val="20"/>
        </w:rPr>
        <w:t xml:space="preserve">│   │   ├── Section_32_depreciation_computation.xlsx</w:t>
      </w:r>
    </w:p>
    <w:p>
      <w:pPr>
        <w:spacing w:after="20"/>
        <w:ind w:left="720"/>
      </w:pPr>
      <w:r>
        <w:rPr>
          <w:rFonts w:ascii="Consolas" w:cs="Consolas" w:eastAsia="Consolas" w:hAnsi="Consolas"/>
          <w:color w:val="13253C"/>
          <w:sz w:val="20"/>
          <w:szCs w:val="20"/>
        </w:rPr>
        <w:t xml:space="preserve">│   │   └── Additions_deletions_puttouse_dates_log.xlsx</w:t>
      </w:r>
    </w:p>
    <w:p>
      <w:pPr>
        <w:spacing w:after="20"/>
        <w:ind w:left="480"/>
      </w:pPr>
      <w:r>
        <w:rPr>
          <w:rFonts w:ascii="Consolas" w:cs="Consolas" w:eastAsia="Consolas" w:hAnsi="Consolas"/>
          <w:color w:val="13253C"/>
          <w:sz w:val="20"/>
          <w:szCs w:val="20"/>
        </w:rPr>
        <w:t xml:space="preserve">│   ├── 5.2_Ind_AS_16_Impairment/</w:t>
      </w:r>
    </w:p>
    <w:p>
      <w:pPr>
        <w:spacing w:after="20"/>
        <w:ind w:left="720"/>
      </w:pPr>
      <w:r>
        <w:rPr>
          <w:rFonts w:ascii="Consolas" w:cs="Consolas" w:eastAsia="Consolas" w:hAnsi="Consolas"/>
          <w:color w:val="13253C"/>
          <w:sz w:val="20"/>
          <w:szCs w:val="20"/>
        </w:rPr>
        <w:t xml:space="preserve">│   │   ├── CGU_identification_memo.docx</w:t>
      </w:r>
    </w:p>
    <w:p>
      <w:pPr>
        <w:spacing w:after="20"/>
        <w:ind w:left="720"/>
      </w:pPr>
      <w:r>
        <w:rPr>
          <w:rFonts w:ascii="Consolas" w:cs="Consolas" w:eastAsia="Consolas" w:hAnsi="Consolas"/>
          <w:color w:val="13253C"/>
          <w:sz w:val="20"/>
          <w:szCs w:val="20"/>
        </w:rPr>
        <w:t xml:space="preserve">│   │   ├── Value_in_use_calculation.xlsx</w:t>
      </w:r>
    </w:p>
    <w:p>
      <w:pPr>
        <w:spacing w:after="20"/>
        <w:ind w:left="720"/>
      </w:pPr>
      <w:r>
        <w:rPr>
          <w:rFonts w:ascii="Consolas" w:cs="Consolas" w:eastAsia="Consolas" w:hAnsi="Consolas"/>
          <w:color w:val="13253C"/>
          <w:sz w:val="20"/>
          <w:szCs w:val="20"/>
        </w:rPr>
        <w:t xml:space="preserve">│   │   └── Impairment_indicators_review_[FY].docx</w:t>
      </w:r>
    </w:p>
    <w:p>
      <w:pPr>
        <w:spacing w:after="20"/>
        <w:ind w:left="480"/>
      </w:pPr>
      <w:r>
        <w:rPr>
          <w:rFonts w:ascii="Consolas" w:cs="Consolas" w:eastAsia="Consolas" w:hAnsi="Consolas"/>
          <w:color w:val="13253C"/>
          <w:sz w:val="20"/>
          <w:szCs w:val="20"/>
        </w:rPr>
        <w:t xml:space="preserve">│   └── 5.3_Physical_Verification_Report_[FY].pdf</w:t>
      </w:r>
    </w:p>
    <w:p>
      <w:pPr>
        <w:spacing w:after="20"/>
        <w:ind w:left="240"/>
      </w:pPr>
      <w:r>
        <w:rPr>
          <w:rFonts w:ascii="Consolas" w:cs="Consolas" w:eastAsia="Consolas" w:hAnsi="Consolas"/>
          <w:color w:val="13253C"/>
          <w:sz w:val="20"/>
          <w:szCs w:val="20"/>
        </w:rPr>
        <w:t xml:space="preserve">│</w:t>
      </w:r>
    </w:p>
    <w:p>
      <w:pPr>
        <w:spacing w:after="20"/>
        <w:ind w:left="240"/>
      </w:pPr>
      <w:r>
        <w:rPr>
          <w:rFonts w:ascii="Consolas" w:cs="Consolas" w:eastAsia="Consolas" w:hAnsi="Consolas"/>
          <w:color w:val="13253C"/>
          <w:sz w:val="20"/>
          <w:szCs w:val="20"/>
        </w:rPr>
        <w:t xml:space="preserve">├── 6_MSME_Section_43Bh/</w:t>
      </w:r>
    </w:p>
    <w:p>
      <w:pPr>
        <w:spacing w:after="20"/>
        <w:ind w:left="480"/>
      </w:pPr>
      <w:r>
        <w:rPr>
          <w:rFonts w:ascii="Consolas" w:cs="Consolas" w:eastAsia="Consolas" w:hAnsi="Consolas"/>
          <w:color w:val="13253C"/>
          <w:sz w:val="20"/>
          <w:szCs w:val="20"/>
        </w:rPr>
        <w:t xml:space="preserve">│   ├── 6.1_Udyam_Register/</w:t>
      </w:r>
    </w:p>
    <w:p>
      <w:pPr>
        <w:spacing w:after="20"/>
        <w:ind w:left="720"/>
      </w:pPr>
      <w:r>
        <w:rPr>
          <w:rFonts w:ascii="Consolas" w:cs="Consolas" w:eastAsia="Consolas" w:hAnsi="Consolas"/>
          <w:color w:val="13253C"/>
          <w:sz w:val="20"/>
          <w:szCs w:val="20"/>
        </w:rPr>
        <w:t xml:space="preserve">│   │   ├── Udyam_verified_vendor_master_[FY].xlsx</w:t>
      </w:r>
    </w:p>
    <w:p>
      <w:pPr>
        <w:spacing w:after="20"/>
        <w:ind w:left="720"/>
      </w:pPr>
      <w:r>
        <w:rPr>
          <w:rFonts w:ascii="Consolas" w:cs="Consolas" w:eastAsia="Consolas" w:hAnsi="Consolas"/>
          <w:color w:val="13253C"/>
          <w:sz w:val="20"/>
          <w:szCs w:val="20"/>
        </w:rPr>
        <w:t xml:space="preserve">│   │   └── Udyam_certificates_scanned/</w:t>
      </w:r>
    </w:p>
    <w:p>
      <w:pPr>
        <w:spacing w:after="20"/>
        <w:ind w:left="480"/>
      </w:pPr>
      <w:r>
        <w:rPr>
          <w:rFonts w:ascii="Consolas" w:cs="Consolas" w:eastAsia="Consolas" w:hAnsi="Consolas"/>
          <w:color w:val="13253C"/>
          <w:sz w:val="20"/>
          <w:szCs w:val="20"/>
        </w:rPr>
        <w:t xml:space="preserve">│   ├── 6.2_AP_Ageing_MSME_only.xlsx</w:t>
      </w:r>
    </w:p>
    <w:p>
      <w:pPr>
        <w:spacing w:after="20"/>
        <w:ind w:left="480"/>
      </w:pPr>
      <w:r>
        <w:rPr>
          <w:rFonts w:ascii="Consolas" w:cs="Consolas" w:eastAsia="Consolas" w:hAnsi="Consolas"/>
          <w:color w:val="13253C"/>
          <w:sz w:val="20"/>
          <w:szCs w:val="20"/>
        </w:rPr>
        <w:t xml:space="preserve">│   ├── 6.3_Section_43Bh_Disallowance_Schedule.xlsx</w:t>
      </w:r>
    </w:p>
    <w:p>
      <w:pPr>
        <w:spacing w:after="20"/>
        <w:ind w:left="480"/>
      </w:pPr>
      <w:r>
        <w:rPr>
          <w:rFonts w:ascii="Consolas" w:cs="Consolas" w:eastAsia="Consolas" w:hAnsi="Consolas"/>
          <w:color w:val="13253C"/>
          <w:sz w:val="20"/>
          <w:szCs w:val="20"/>
        </w:rPr>
        <w:t xml:space="preserve">│   └── 6.4_Written_agreements_15_45_day_terms.pdf</w:t>
      </w:r>
    </w:p>
    <w:p>
      <w:pPr>
        <w:spacing w:after="20"/>
        <w:ind w:left="240"/>
      </w:pPr>
      <w:r>
        <w:rPr>
          <w:rFonts w:ascii="Consolas" w:cs="Consolas" w:eastAsia="Consolas" w:hAnsi="Consolas"/>
          <w:color w:val="13253C"/>
          <w:sz w:val="20"/>
          <w:szCs w:val="20"/>
        </w:rPr>
        <w:t xml:space="preserve">│</w:t>
      </w:r>
    </w:p>
    <w:p>
      <w:pPr>
        <w:spacing w:after="20"/>
        <w:ind w:left="240"/>
      </w:pPr>
      <w:r>
        <w:rPr>
          <w:rFonts w:ascii="Consolas" w:cs="Consolas" w:eastAsia="Consolas" w:hAnsi="Consolas"/>
          <w:color w:val="13253C"/>
          <w:sz w:val="20"/>
          <w:szCs w:val="20"/>
        </w:rPr>
        <w:t xml:space="preserve">├── 7_Related_Party/</w:t>
      </w:r>
    </w:p>
    <w:p>
      <w:pPr>
        <w:spacing w:after="20"/>
        <w:ind w:left="480"/>
      </w:pPr>
      <w:r>
        <w:rPr>
          <w:rFonts w:ascii="Consolas" w:cs="Consolas" w:eastAsia="Consolas" w:hAnsi="Consolas"/>
          <w:color w:val="13253C"/>
          <w:sz w:val="20"/>
          <w:szCs w:val="20"/>
        </w:rPr>
        <w:t xml:space="preserve">│   ├── 7.1_Ind_AS_24_Disclosure_Working.xlsx</w:t>
      </w:r>
    </w:p>
    <w:p>
      <w:pPr>
        <w:spacing w:after="20"/>
        <w:ind w:left="480"/>
      </w:pPr>
      <w:r>
        <w:rPr>
          <w:rFonts w:ascii="Consolas" w:cs="Consolas" w:eastAsia="Consolas" w:hAnsi="Consolas"/>
          <w:color w:val="13253C"/>
          <w:sz w:val="20"/>
          <w:szCs w:val="20"/>
        </w:rPr>
        <w:t xml:space="preserve">│   ├── 7.2_KMP_and_relative_register.xlsx</w:t>
      </w:r>
    </w:p>
    <w:p>
      <w:pPr>
        <w:spacing w:after="20"/>
        <w:ind w:left="480"/>
      </w:pPr>
      <w:r>
        <w:rPr>
          <w:rFonts w:ascii="Consolas" w:cs="Consolas" w:eastAsia="Consolas" w:hAnsi="Consolas"/>
          <w:color w:val="13253C"/>
          <w:sz w:val="20"/>
          <w:szCs w:val="20"/>
        </w:rPr>
        <w:t xml:space="preserve">│   ├── 7.3_Section_188_Board_approval_register.pdf</w:t>
      </w:r>
    </w:p>
    <w:p>
      <w:pPr>
        <w:spacing w:after="20"/>
        <w:ind w:left="480"/>
      </w:pPr>
      <w:r>
        <w:rPr>
          <w:rFonts w:ascii="Consolas" w:cs="Consolas" w:eastAsia="Consolas" w:hAnsi="Consolas"/>
          <w:color w:val="13253C"/>
          <w:sz w:val="20"/>
          <w:szCs w:val="20"/>
        </w:rPr>
        <w:t xml:space="preserve">│   └── 7.4_SDT_Section_92BA_documentation/  (if turnover threshold breached)</w:t>
      </w:r>
    </w:p>
    <w:p>
      <w:pPr>
        <w:spacing w:after="20"/>
        <w:ind w:left="240"/>
      </w:pPr>
      <w:r>
        <w:rPr>
          <w:rFonts w:ascii="Consolas" w:cs="Consolas" w:eastAsia="Consolas" w:hAnsi="Consolas"/>
          <w:color w:val="13253C"/>
          <w:sz w:val="20"/>
          <w:szCs w:val="20"/>
        </w:rPr>
        <w:t xml:space="preserve">│</w:t>
      </w:r>
    </w:p>
    <w:p>
      <w:pPr>
        <w:spacing w:after="20"/>
        <w:ind w:left="240"/>
      </w:pPr>
      <w:r>
        <w:rPr>
          <w:rFonts w:ascii="Consolas" w:cs="Consolas" w:eastAsia="Consolas" w:hAnsi="Consolas"/>
          <w:color w:val="13253C"/>
          <w:sz w:val="20"/>
          <w:szCs w:val="20"/>
        </w:rPr>
        <w:t xml:space="preserve">├── 8_Ind_AS_Adjustments/</w:t>
      </w:r>
    </w:p>
    <w:p>
      <w:pPr>
        <w:spacing w:after="20"/>
        <w:ind w:left="480"/>
      </w:pPr>
      <w:r>
        <w:rPr>
          <w:rFonts w:ascii="Consolas" w:cs="Consolas" w:eastAsia="Consolas" w:hAnsi="Consolas"/>
          <w:color w:val="13253C"/>
          <w:sz w:val="20"/>
          <w:szCs w:val="20"/>
        </w:rPr>
        <w:t xml:space="preserve">│   ├── 8.1_Ind_AS_12_DTA_DTL_workings.xlsx</w:t>
      </w:r>
    </w:p>
    <w:p>
      <w:pPr>
        <w:spacing w:after="20"/>
        <w:ind w:left="480"/>
      </w:pPr>
      <w:r>
        <w:rPr>
          <w:rFonts w:ascii="Consolas" w:cs="Consolas" w:eastAsia="Consolas" w:hAnsi="Consolas"/>
          <w:color w:val="13253C"/>
          <w:sz w:val="20"/>
          <w:szCs w:val="20"/>
        </w:rPr>
        <w:t xml:space="preserve">│   ├── 8.2_Ind_AS_21_Forex_restatement.xlsx</w:t>
      </w:r>
    </w:p>
    <w:p>
      <w:pPr>
        <w:spacing w:after="20"/>
        <w:ind w:left="480"/>
      </w:pPr>
      <w:r>
        <w:rPr>
          <w:rFonts w:ascii="Consolas" w:cs="Consolas" w:eastAsia="Consolas" w:hAnsi="Consolas"/>
          <w:color w:val="13253C"/>
          <w:sz w:val="20"/>
          <w:szCs w:val="20"/>
        </w:rPr>
        <w:t xml:space="preserve">│   ├── 8.3_Ind_AS_115_Revenue_variable_consideration.xlsx</w:t>
      </w:r>
    </w:p>
    <w:p>
      <w:pPr>
        <w:spacing w:after="20"/>
        <w:ind w:left="480"/>
      </w:pPr>
      <w:r>
        <w:rPr>
          <w:rFonts w:ascii="Consolas" w:cs="Consolas" w:eastAsia="Consolas" w:hAnsi="Consolas"/>
          <w:color w:val="13253C"/>
          <w:sz w:val="20"/>
          <w:szCs w:val="20"/>
        </w:rPr>
        <w:t xml:space="preserve">│   ├── 8.4_Ind_AS_116_Lease_ROU_and_liability.xlsx</w:t>
      </w:r>
    </w:p>
    <w:p>
      <w:pPr>
        <w:spacing w:after="20"/>
        <w:ind w:left="480"/>
      </w:pPr>
      <w:r>
        <w:rPr>
          <w:rFonts w:ascii="Consolas" w:cs="Consolas" w:eastAsia="Consolas" w:hAnsi="Consolas"/>
          <w:color w:val="13253C"/>
          <w:sz w:val="20"/>
          <w:szCs w:val="20"/>
        </w:rPr>
        <w:t xml:space="preserve">│   └── 8.5_First_time_and_recurring_adjustments_memo.docx</w:t>
      </w:r>
    </w:p>
    <w:p>
      <w:pPr>
        <w:spacing w:after="20"/>
        <w:ind w:left="240"/>
      </w:pPr>
      <w:r>
        <w:rPr>
          <w:rFonts w:ascii="Consolas" w:cs="Consolas" w:eastAsia="Consolas" w:hAnsi="Consolas"/>
          <w:color w:val="13253C"/>
          <w:sz w:val="20"/>
          <w:szCs w:val="20"/>
        </w:rPr>
        <w:t xml:space="preserve">│</w:t>
      </w:r>
    </w:p>
    <w:p>
      <w:pPr>
        <w:spacing w:after="20"/>
        <w:ind w:left="240"/>
      </w:pPr>
      <w:r>
        <w:rPr>
          <w:rFonts w:ascii="Consolas" w:cs="Consolas" w:eastAsia="Consolas" w:hAnsi="Consolas"/>
          <w:color w:val="13253C"/>
          <w:sz w:val="20"/>
          <w:szCs w:val="20"/>
        </w:rPr>
        <w:t xml:space="preserve">├── 9_ICFR_Test_Files/</w:t>
      </w:r>
    </w:p>
    <w:p>
      <w:pPr>
        <w:spacing w:after="20"/>
        <w:ind w:left="480"/>
      </w:pPr>
      <w:r>
        <w:rPr>
          <w:rFonts w:ascii="Consolas" w:cs="Consolas" w:eastAsia="Consolas" w:hAnsi="Consolas"/>
          <w:color w:val="13253C"/>
          <w:sz w:val="20"/>
          <w:szCs w:val="20"/>
        </w:rPr>
        <w:t xml:space="preserve">│   ├── 9.1_Section_143_3_i_scope_memo.docx</w:t>
      </w:r>
    </w:p>
    <w:p>
      <w:pPr>
        <w:spacing w:after="20"/>
        <w:ind w:left="480"/>
      </w:pPr>
      <w:r>
        <w:rPr>
          <w:rFonts w:ascii="Consolas" w:cs="Consolas" w:eastAsia="Consolas" w:hAnsi="Consolas"/>
          <w:color w:val="13253C"/>
          <w:sz w:val="20"/>
          <w:szCs w:val="20"/>
        </w:rPr>
        <w:t xml:space="preserve">│   ├── 9.2_Entity_level_controls_test_log.xlsx</w:t>
      </w:r>
    </w:p>
    <w:p>
      <w:pPr>
        <w:spacing w:after="20"/>
        <w:ind w:left="480"/>
      </w:pPr>
      <w:r>
        <w:rPr>
          <w:rFonts w:ascii="Consolas" w:cs="Consolas" w:eastAsia="Consolas" w:hAnsi="Consolas"/>
          <w:color w:val="13253C"/>
          <w:sz w:val="20"/>
          <w:szCs w:val="20"/>
        </w:rPr>
        <w:t xml:space="preserve">│   ├── 9.3_Process_level_controls_test_log.xlsx</w:t>
      </w:r>
    </w:p>
    <w:p>
      <w:pPr>
        <w:spacing w:after="20"/>
        <w:ind w:left="480"/>
      </w:pPr>
      <w:r>
        <w:rPr>
          <w:rFonts w:ascii="Consolas" w:cs="Consolas" w:eastAsia="Consolas" w:hAnsi="Consolas"/>
          <w:color w:val="13253C"/>
          <w:sz w:val="20"/>
          <w:szCs w:val="20"/>
        </w:rPr>
        <w:t xml:space="preserve">│   ├── 9.4_IT_general_controls_test_log.xlsx</w:t>
      </w:r>
    </w:p>
    <w:p>
      <w:pPr>
        <w:spacing w:after="20"/>
        <w:ind w:left="480"/>
      </w:pPr>
      <w:r>
        <w:rPr>
          <w:rFonts w:ascii="Consolas" w:cs="Consolas" w:eastAsia="Consolas" w:hAnsi="Consolas"/>
          <w:color w:val="13253C"/>
          <w:sz w:val="20"/>
          <w:szCs w:val="20"/>
        </w:rPr>
        <w:t xml:space="preserve">│   └── 9.5_Deficiency_remediation_register.xlsx</w:t>
      </w:r>
    </w:p>
    <w:p>
      <w:pPr>
        <w:spacing w:after="20"/>
        <w:ind w:left="240"/>
      </w:pPr>
      <w:r>
        <w:rPr>
          <w:rFonts w:ascii="Consolas" w:cs="Consolas" w:eastAsia="Consolas" w:hAnsi="Consolas"/>
          <w:color w:val="13253C"/>
          <w:sz w:val="20"/>
          <w:szCs w:val="20"/>
        </w:rPr>
        <w:t xml:space="preserve">│</w:t>
      </w:r>
    </w:p>
    <w:p>
      <w:pPr>
        <w:spacing w:after="20"/>
        <w:ind w:left="240"/>
      </w:pPr>
      <w:r>
        <w:rPr>
          <w:rFonts w:ascii="Consolas" w:cs="Consolas" w:eastAsia="Consolas" w:hAnsi="Consolas"/>
          <w:color w:val="13253C"/>
          <w:sz w:val="20"/>
          <w:szCs w:val="20"/>
        </w:rPr>
        <w:t xml:space="preserve">├── 10_CARO_2020_Evidence/</w:t>
      </w:r>
    </w:p>
    <w:p>
      <w:pPr>
        <w:spacing w:after="20"/>
        <w:ind w:left="480"/>
      </w:pPr>
      <w:r>
        <w:rPr>
          <w:rFonts w:ascii="Consolas" w:cs="Consolas" w:eastAsia="Consolas" w:hAnsi="Consolas"/>
          <w:color w:val="13253C"/>
          <w:sz w:val="20"/>
          <w:szCs w:val="20"/>
        </w:rPr>
        <w:t xml:space="preserve">│   ├── 10.01_Clause_i_fixed_assets_register/  … 10.21_Clause_xxi_consolidated_FS/</w:t>
      </w:r>
    </w:p>
    <w:p>
      <w:pPr>
        <w:spacing w:after="20"/>
        <w:ind w:left="480"/>
      </w:pPr>
      <w:r>
        <w:rPr>
          <w:rFonts w:ascii="Consolas" w:cs="Consolas" w:eastAsia="Consolas" w:hAnsi="Consolas"/>
          <w:color w:val="13253C"/>
          <w:sz w:val="20"/>
          <w:szCs w:val="20"/>
        </w:rPr>
        <w:t xml:space="preserve">│   ├── 10.22_CARO_report_draft_[FY].docx</w:t>
      </w:r>
    </w:p>
    <w:p>
      <w:pPr>
        <w:spacing w:after="20"/>
        <w:ind w:left="480"/>
      </w:pPr>
      <w:r>
        <w:rPr>
          <w:rFonts w:ascii="Consolas" w:cs="Consolas" w:eastAsia="Consolas" w:hAnsi="Consolas"/>
          <w:color w:val="13253C"/>
          <w:sz w:val="20"/>
          <w:szCs w:val="20"/>
        </w:rPr>
        <w:t xml:space="preserve">│   └── 10.23_Auditor_communications_register.xlsx</w:t>
      </w:r>
    </w:p>
    <w:p>
      <w:pPr>
        <w:spacing w:after="20"/>
        <w:ind w:left="240"/>
      </w:pPr>
      <w:r>
        <w:rPr>
          <w:rFonts w:ascii="Consolas" w:cs="Consolas" w:eastAsia="Consolas" w:hAnsi="Consolas"/>
          <w:color w:val="13253C"/>
          <w:sz w:val="20"/>
          <w:szCs w:val="20"/>
        </w:rPr>
        <w:t xml:space="preserve">│</w:t>
      </w:r>
    </w:p>
    <w:p>
      <w:pPr>
        <w:spacing w:after="20"/>
        <w:ind w:left="240"/>
      </w:pPr>
      <w:r>
        <w:rPr>
          <w:rFonts w:ascii="Consolas" w:cs="Consolas" w:eastAsia="Consolas" w:hAnsi="Consolas"/>
          <w:color w:val="13253C"/>
          <w:sz w:val="20"/>
          <w:szCs w:val="20"/>
        </w:rPr>
        <w:t xml:space="preserve">└── 99_Sign_off_and_Handover/</w:t>
      </w:r>
    </w:p>
    <w:p>
      <w:pPr>
        <w:spacing w:after="20"/>
        <w:ind w:left="480"/>
      </w:pPr>
      <w:r>
        <w:rPr>
          <w:rFonts w:ascii="Consolas" w:cs="Consolas" w:eastAsia="Consolas" w:hAnsi="Consolas"/>
          <w:color w:val="13253C"/>
          <w:sz w:val="20"/>
          <w:szCs w:val="20"/>
        </w:rPr>
        <w:t xml:space="preserve">    ├── Preparer_reviewer_signoff_matrix.xlsx</w:t>
      </w:r>
    </w:p>
    <w:p>
      <w:pPr>
        <w:spacing w:after="20"/>
        <w:ind w:left="480"/>
      </w:pPr>
      <w:r>
        <w:rPr>
          <w:rFonts w:ascii="Consolas" w:cs="Consolas" w:eastAsia="Consolas" w:hAnsi="Consolas"/>
          <w:color w:val="13253C"/>
          <w:sz w:val="20"/>
          <w:szCs w:val="20"/>
        </w:rPr>
        <w:t xml:space="preserve">    ├── Audit_query_log_[FY].xlsx</w:t>
      </w:r>
    </w:p>
    <w:p>
      <w:pPr>
        <w:spacing w:after="20"/>
        <w:ind w:left="480"/>
      </w:pPr>
      <w:r>
        <w:rPr>
          <w:rFonts w:ascii="Consolas" w:cs="Consolas" w:eastAsia="Consolas" w:hAnsi="Consolas"/>
          <w:color w:val="13253C"/>
          <w:sz w:val="20"/>
          <w:szCs w:val="20"/>
        </w:rPr>
        <w:t xml:space="preserve">    └── Management_representation_letter_[FY].pdf</w:t>
      </w:r>
    </w:p>
    <w:p>
      <w:pPr>
        <w:spacing w:after="200" w:before="0"/>
      </w:pPr>
      <w:r>
        <w:rPr>
          <w:rFonts w:ascii="Calibri" w:cs="Calibri" w:eastAsia="Calibri" w:hAnsi="Calibri"/>
          <w:b w:val="false"/>
          <w:bCs w:val="false"/>
          <w:i w:val="false"/>
          <w:iCs w:val="false"/>
          <w:color w:val="000000"/>
          <w:sz w:val="22"/>
          <w:szCs w:val="22"/>
        </w:rPr>
        <w:t xml:space="preserve"/>
      </w:r>
    </w:p>
    <w:p>
      <w:pPr>
        <w:pStyle w:val="Heading2"/>
        <w:spacing w:after="120" w:before="240"/>
      </w:pPr>
      <w:r>
        <w:rPr>
          <w:rFonts w:ascii="Helvetica" w:cs="Helvetica" w:eastAsia="Helvetica" w:hAnsi="Helvetica"/>
          <w:b/>
          <w:bCs/>
          <w:color w:val="1E3A5F"/>
          <w:sz w:val="28"/>
          <w:szCs w:val="28"/>
        </w:rPr>
        <w:t xml:space="preserve">File-naming convention</w:t>
      </w:r>
    </w:p>
    <w:p>
      <w:pPr>
        <w:spacing w:after="120" w:before="0"/>
      </w:pPr>
      <w:r>
        <w:rPr>
          <w:rFonts w:ascii="Calibri" w:cs="Calibri" w:eastAsia="Calibri" w:hAnsi="Calibri"/>
          <w:b w:val="false"/>
          <w:bCs w:val="false"/>
          <w:i w:val="false"/>
          <w:iCs w:val="false"/>
          <w:color w:val="000000"/>
          <w:sz w:val="22"/>
          <w:szCs w:val="22"/>
        </w:rPr>
        <w:t xml:space="preserve">Every file inside a stream folder must follow the pattern:  </w:t>
      </w:r>
      <w:r>
        <w:rPr>
          <w:rFonts w:ascii="Calibri" w:cs="Calibri" w:eastAsia="Calibri" w:hAnsi="Calibri"/>
          <w:b/>
          <w:bCs/>
          <w:i w:val="false"/>
          <w:iCs w:val="false"/>
          <w:color w:val="000000"/>
          <w:sz w:val="22"/>
          <w:szCs w:val="22"/>
        </w:rPr>
        <w:t xml:space="preserve">[FY]_[Stream]_[Clause]_[Version].xlsx / .pdf / .docx</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[FY] — the financial year in the format 25-26, 26-27 (two-digit both sides, hyphen-separated).</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[Stream] — the two-digit Level-2 folder number followed by an underscore and short tag (for example 03_TDS, 04_GST, 06_MSME).</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[Clause] — the CARO clause (i–xxi), Section reference (43Bh, 194Q, 194C), or the calendar month (M01–M12) that the file evidences.</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[Version] — v1, v2, v3 for draft iterations; the final signed-off file carries the suffix _FINAL (never _final or _FINAL_v2).</w:t>
      </w:r>
    </w:p>
    <w:p>
      <w:pPr>
        <w:spacing w:after="60" w:before="0"/>
      </w:pPr>
      <w:r>
        <w:rPr>
          <w:rFonts w:ascii="Calibri" w:cs="Calibri" w:eastAsia="Calibri" w:hAnsi="Calibri"/>
          <w:b w:val="false"/>
          <w:bCs w:val="false"/>
          <w:i w:val="false"/>
          <w:iCs w:val="false"/>
          <w:color w:val="000000"/>
          <w:sz w:val="22"/>
          <w:szCs w:val="22"/>
        </w:rPr>
        <w:t xml:space="preserve"/>
      </w:r>
    </w:p>
    <w:p>
      <w:pPr>
        <w:spacing w:after="120" w:before="0"/>
      </w:pPr>
      <w:r>
        <w:rPr>
          <w:rFonts w:ascii="Calibri" w:cs="Calibri" w:eastAsia="Calibri" w:hAnsi="Calibri"/>
          <w:b w:val="false"/>
          <w:bCs w:val="false"/>
          <w:i w:val="false"/>
          <w:iCs w:val="false"/>
          <w:color w:val="000000"/>
          <w:sz w:val="22"/>
          <w:szCs w:val="22"/>
        </w:rPr>
        <w:t xml:space="preserve">Example: </w:t>
      </w:r>
      <w:r>
        <w:rPr>
          <w:rFonts w:ascii="Calibri" w:cs="Calibri" w:eastAsia="Calibri" w:hAnsi="Calibri"/>
          <w:b/>
          <w:bCs/>
          <w:i w:val="false"/>
          <w:iCs w:val="false"/>
          <w:color w:val="000000"/>
          <w:sz w:val="22"/>
          <w:szCs w:val="22"/>
        </w:rPr>
        <w:t xml:space="preserve">25-26_04_GST_GSTR-9C_v3.xlsx</w:t>
      </w:r>
      <w:r>
        <w:rPr>
          <w:rFonts w:ascii="Calibri" w:cs="Calibri" w:eastAsia="Calibri" w:hAnsi="Calibri"/>
          <w:b w:val="false"/>
          <w:bCs w:val="false"/>
          <w:i w:val="false"/>
          <w:iCs w:val="false"/>
          <w:color w:val="000000"/>
          <w:sz w:val="22"/>
          <w:szCs w:val="22"/>
        </w:rPr>
        <w:t xml:space="preserve">  — the third draft of the FY 25-26 GSTR-9C reconciliation.</w:t>
      </w:r>
    </w:p>
    <w:p>
      <w:pPr>
        <w:pStyle w:val="Heading2"/>
        <w:spacing w:after="120" w:before="240"/>
      </w:pPr>
      <w:r>
        <w:rPr>
          <w:rFonts w:ascii="Helvetica" w:cs="Helvetica" w:eastAsia="Helvetica" w:hAnsi="Helvetica"/>
          <w:b/>
          <w:bCs/>
          <w:color w:val="1E3A5F"/>
          <w:sz w:val="28"/>
          <w:szCs w:val="28"/>
        </w:rPr>
        <w:t xml:space="preserve">Sign-off matrix (per file)</w:t>
      </w:r>
    </w:p>
    <w:tbl>
      <w:tblPr>
        <w:tblW w:type="dxa" w:w="8760"/>
        <w:tblBorders>
          <w:top w:val="single" w:color="auto" w:sz="4"/>
          <w:left w:val="single" w:color="auto" w:sz="4"/>
          <w:bottom w:val="single" w:color="auto" w:sz="4"/>
          <w:right w:val="single" w:color="auto" w:sz="4"/>
          <w:insideH w:val="single" w:color="auto" w:sz="4"/>
          <w:insideV w:val="single" w:color="auto" w:sz="4"/>
        </w:tblBorders>
      </w:tblPr>
      <w:tblGrid>
        <w:gridCol w:w="2400"/>
        <w:gridCol w:w="2400"/>
        <w:gridCol w:w="2400"/>
        <w:gridCol w:w="1560"/>
      </w:tblGrid>
      <w:tr>
        <w:trPr>
          <w:tblHeader/>
        </w:trPr>
        <w:tc>
          <w:tcPr>
            <w:tcW w:type="dxa" w:w="2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Role</w:t>
            </w:r>
          </w:p>
        </w:tc>
        <w:tc>
          <w:tcPr>
            <w:tcW w:type="dxa" w:w="2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Responsibility</w:t>
            </w:r>
          </w:p>
        </w:tc>
        <w:tc>
          <w:tcPr>
            <w:tcW w:type="dxa" w:w="24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Evidence they leave</w:t>
            </w:r>
          </w:p>
        </w:tc>
        <w:tc>
          <w:tcPr>
            <w:tcW w:type="dxa" w:w="156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Retention</w:t>
            </w:r>
          </w:p>
        </w:tc>
      </w:tr>
      <w:tr>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Preparer</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Populates the working paper from the source system</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Initials + date on the cover cell + system export timestamp</w:t>
            </w:r>
          </w:p>
        </w:tc>
        <w:tc>
          <w:tcPr>
            <w:tcW w:type="dxa" w:w="156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8 years</w:t>
            </w:r>
          </w:p>
        </w:tc>
      </w:tr>
      <w:tr>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Reviewer</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First-line quality check; challenges classifications</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Initials + date + short reviewer note if changes made</w:t>
            </w:r>
          </w:p>
        </w:tc>
        <w:tc>
          <w:tcPr>
            <w:tcW w:type="dxa" w:w="156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8 years</w:t>
            </w:r>
          </w:p>
        </w:tc>
      </w:tr>
      <w:tr>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Approver</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CFO or delegated authority; final release to auditor</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Signed cover sheet; e-mail acknowledgement to auditor</w:t>
            </w:r>
          </w:p>
        </w:tc>
        <w:tc>
          <w:tcPr>
            <w:tcW w:type="dxa" w:w="156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8 years</w:t>
            </w:r>
          </w:p>
        </w:tc>
      </w:tr>
      <w:tr>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Auditor</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External statutory or tax auditor; test evidence taker</w:t>
            </w:r>
          </w:p>
        </w:tc>
        <w:tc>
          <w:tcPr>
            <w:tcW w:type="dxa" w:w="24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Ticks on the cover sheet + audit query log entry</w:t>
            </w:r>
          </w:p>
        </w:tc>
        <w:tc>
          <w:tcPr>
            <w:tcW w:type="dxa" w:w="156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8 years</w:t>
            </w:r>
          </w:p>
        </w:tc>
      </w:tr>
    </w:tbl>
    <w:p>
      <w:pPr>
        <w:pStyle w:val="Heading2"/>
        <w:spacing w:after="120" w:before="240"/>
      </w:pPr>
      <w:r>
        <w:rPr>
          <w:rFonts w:ascii="Helvetica" w:cs="Helvetica" w:eastAsia="Helvetica" w:hAnsi="Helvetica"/>
          <w:b/>
          <w:bCs/>
          <w:color w:val="1E3A5F"/>
          <w:sz w:val="28"/>
          <w:szCs w:val="28"/>
        </w:rPr>
        <w:t xml:space="preserve">Version-control rules</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Never overwrite v1 with v2 in place — keep every version. Working paper history is inspectable.</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Never rename a file after auditor download. Create a superseding version and record the supersession in the audit query log.</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Zip-and-lock each stream folder at year-end. The lock date becomes the sign-off date in the reviewer register.</w:t>
      </w:r>
    </w:p>
    <w:p>
      <w:pPr>
        <w:pStyle w:val="Heading2"/>
        <w:spacing w:after="120" w:before="240"/>
      </w:pPr>
      <w:r>
        <w:rPr>
          <w:rFonts w:ascii="Helvetica" w:cs="Helvetica" w:eastAsia="Helvetica" w:hAnsi="Helvetica"/>
          <w:b/>
          <w:bCs/>
          <w:color w:val="1E3A5F"/>
          <w:sz w:val="28"/>
          <w:szCs w:val="28"/>
        </w:rPr>
        <w:t xml:space="preserve">Retention policy</w:t>
      </w:r>
    </w:p>
    <w:p>
      <w:pPr>
        <w:spacing w:after="120" w:before="0"/>
      </w:pPr>
      <w:r>
        <w:rPr>
          <w:rFonts w:ascii="Calibri" w:cs="Calibri" w:eastAsia="Calibri" w:hAnsi="Calibri"/>
          <w:b w:val="false"/>
          <w:bCs w:val="false"/>
          <w:i w:val="false"/>
          <w:iCs w:val="false"/>
          <w:color w:val="000000"/>
          <w:sz w:val="22"/>
          <w:szCs w:val="22"/>
        </w:rPr>
        <w:t xml:space="preserve">Statutory retention is </w:t>
      </w:r>
      <w:r>
        <w:rPr>
          <w:rFonts w:ascii="Calibri" w:cs="Calibri" w:eastAsia="Calibri" w:hAnsi="Calibri"/>
          <w:b/>
          <w:bCs/>
          <w:i w:val="false"/>
          <w:iCs w:val="false"/>
          <w:color w:val="000000"/>
          <w:sz w:val="22"/>
          <w:szCs w:val="22"/>
        </w:rPr>
        <w:t xml:space="preserve">8 years from the end of the assessment year </w:t>
      </w:r>
      <w:r>
        <w:rPr>
          <w:rFonts w:ascii="Calibri" w:cs="Calibri" w:eastAsia="Calibri" w:hAnsi="Calibri"/>
          <w:b w:val="false"/>
          <w:bCs w:val="false"/>
          <w:i w:val="false"/>
          <w:iCs w:val="false"/>
          <w:color w:val="000000"/>
          <w:sz w:val="22"/>
          <w:szCs w:val="22"/>
        </w:rPr>
        <w:t xml:space="preserve">under Section 44AA of the Income-tax Act 1961 read with Rule 6F, and Section 128(5) of the Companies Act 2013. GST records under Section 36 of the CGST Act must be retained for 72 months from the due date of filing the annual return; if any dispute is pending, retention extends until one year after final disposal.</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Do not delete anything mid-retention, even if the entity moves ERPs — export first, then archive.</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Store one primary copy on the entity’s document management system and a secondary encrypted copy in the CFO office cold-storage.</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Physical documents (bank confirmations, PoA, court orders) — store in a numbered lever-arch file with an index sheet that mirrors the folder tree.</w:t>
      </w:r>
    </w:p>
    <w:p>
      <w:pPr>
        <w:pStyle w:val="Heading2"/>
        <w:spacing w:after="120" w:before="240"/>
      </w:pPr>
      <w:r>
        <w:rPr>
          <w:rFonts w:ascii="Helvetica" w:cs="Helvetica" w:eastAsia="Helvetica" w:hAnsi="Helvetica"/>
          <w:b/>
          <w:bCs/>
          <w:color w:val="1E3A5F"/>
          <w:sz w:val="28"/>
          <w:szCs w:val="28"/>
        </w:rPr>
        <w:t xml:space="preserve">Handover checklist</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Preparer/reviewer/approver sign-off matrix completed and archived in 99_Sign_off_and_Handover.</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Audit query log reconciled — every query either closed, or carried forward with an ETA.</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Management representation letter (MRL) drafted, signed by the Board resolution date, and stored alongside the CARO draft.</w:t>
      </w:r>
    </w:p>
    <w:p>
      <w:pPr>
        <w:pStyle w:val="ListParagraph"/>
        <w:numPr>
          <w:ilvl w:val="0"/>
          <w:numId w:val="2"/>
        </w:numPr>
        <w:spacing w:after="60"/>
      </w:pPr>
      <w:r>
        <w:rPr>
          <w:rFonts w:ascii="Calibri" w:cs="Calibri" w:eastAsia="Calibri" w:hAnsi="Calibri"/>
          <w:b w:val="false"/>
          <w:bCs w:val="false"/>
          <w:i w:val="false"/>
          <w:iCs w:val="false"/>
          <w:color w:val="000000"/>
          <w:sz w:val="22"/>
          <w:szCs w:val="22"/>
        </w:rPr>
        <w:t xml:space="preserve">Read-only permissions applied to all Level-1 folders once the auditor has signed the audit report.</w:t>
      </w:r>
    </w:p>
    <w:p>
      <w:pPr>
        <w:pStyle w:val="Heading2"/>
        <w:spacing w:after="120" w:before="240"/>
      </w:pPr>
      <w:r>
        <w:rPr>
          <w:rFonts w:ascii="Helvetica" w:cs="Helvetica" w:eastAsia="Helvetica" w:hAnsi="Helvetica"/>
          <w:b/>
          <w:bCs/>
          <w:color w:val="1E3A5F"/>
          <w:sz w:val="28"/>
          <w:szCs w:val="28"/>
        </w:rPr>
        <w:t xml:space="preserve">Common failure modes to avoid</w:t>
      </w:r>
    </w:p>
    <w:tbl>
      <w:tblPr>
        <w:tblW w:type="dxa" w:w="8400"/>
        <w:tblBorders>
          <w:top w:val="single" w:color="auto" w:sz="4"/>
          <w:left w:val="single" w:color="auto" w:sz="4"/>
          <w:bottom w:val="single" w:color="auto" w:sz="4"/>
          <w:right w:val="single" w:color="auto" w:sz="4"/>
          <w:insideH w:val="single" w:color="auto" w:sz="4"/>
          <w:insideV w:val="single" w:color="auto" w:sz="4"/>
        </w:tblBorders>
      </w:tblPr>
      <w:tblGrid>
        <w:gridCol w:w="4200"/>
        <w:gridCol w:w="4200"/>
      </w:tblGrid>
      <w:tr>
        <w:trPr>
          <w:tblHeader/>
        </w:trPr>
        <w:tc>
          <w:tcPr>
            <w:tcW w:type="dxa" w:w="42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Failure mode observed in practice</w:t>
            </w:r>
          </w:p>
        </w:tc>
        <w:tc>
          <w:tcPr>
            <w:tcW w:type="dxa" w:w="4200"/>
            <w:shd w:fill="1E3A5F" w:color="auto" w:val="clear"/>
            <w:tcMar>
              <w:top w:type="dxa" w:w="80"/>
              <w:left w:type="dxa" w:w="100"/>
              <w:bottom w:type="dxa" w:w="80"/>
              <w:right w:type="dxa" w:w="100"/>
            </w:tcMar>
          </w:tcPr>
          <w:p>
            <w:r>
              <w:rPr>
                <w:rFonts w:ascii="Helvetica" w:cs="Helvetica" w:eastAsia="Helvetica" w:hAnsi="Helvetica"/>
                <w:b/>
                <w:bCs/>
                <w:color w:val="FFFFFF"/>
                <w:sz w:val="20"/>
                <w:szCs w:val="20"/>
              </w:rPr>
              <w:t xml:space="preserve">Preventive control</w:t>
            </w:r>
          </w:p>
        </w:tc>
      </w:tr>
      <w:tr>
        <w:tc>
          <w:tcPr>
            <w:tcW w:type="dxa" w:w="42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Multiple versions of the same working paper across e-mail threads and OneDrive</w:t>
            </w:r>
          </w:p>
        </w:tc>
        <w:tc>
          <w:tcPr>
            <w:tcW w:type="dxa" w:w="42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Enforce that only the file inside the folder tree is authoritative; ban e-mail attachments as evidence</w:t>
            </w:r>
          </w:p>
        </w:tc>
      </w:tr>
      <w:tr>
        <w:tc>
          <w:tcPr>
            <w:tcW w:type="dxa" w:w="42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Auditor asked for CARO Clause (xii) sub-clause (b) evidence and preparer scrambled at year-end</w:t>
            </w:r>
          </w:p>
        </w:tc>
        <w:tc>
          <w:tcPr>
            <w:tcW w:type="dxa" w:w="42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Populate the 10_CARO_2020_Evidence folder progressively across the year, not in March</w:t>
            </w:r>
          </w:p>
        </w:tc>
      </w:tr>
      <w:tr>
        <w:tc>
          <w:tcPr>
            <w:tcW w:type="dxa" w:w="42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GSTR-2B / GSTR-3B / GSTR-9 numbers reconciled inside GSTR-9C but never rolled back to the source folder</w:t>
            </w:r>
          </w:p>
        </w:tc>
        <w:tc>
          <w:tcPr>
            <w:tcW w:type="dxa" w:w="42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Store the GSTR-9C working with a clear cross-reference tab that links back to 4.2 and 4.3 files</w:t>
            </w:r>
          </w:p>
        </w:tc>
      </w:tr>
      <w:tr>
        <w:tc>
          <w:tcPr>
            <w:tcW w:type="dxa" w:w="42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Section 43B(h) MSME disallowance schedule prepared once at year-end and quantum wrong by a wide margin</w:t>
            </w:r>
          </w:p>
        </w:tc>
        <w:tc>
          <w:tcPr>
            <w:tcW w:type="dxa" w:w="42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Refresh 6.3 monthly; use the AP-ageing extract as the primary trigger, not the vendor master</w:t>
            </w:r>
          </w:p>
        </w:tc>
      </w:tr>
      <w:tr>
        <w:tc>
          <w:tcPr>
            <w:tcW w:type="dxa" w:w="42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Prior-year working papers overwritten because the file name was reused for the new FY</w:t>
            </w:r>
          </w:p>
        </w:tc>
        <w:tc>
          <w:tcPr>
            <w:tcW w:type="dxa" w:w="4200"/>
            <w:tcMar>
              <w:top w:type="dxa" w:w="80"/>
              <w:left w:type="dxa" w:w="100"/>
              <w:bottom w:type="dxa" w:w="80"/>
              <w:right w:type="dxa" w:w="100"/>
            </w:tcMar>
          </w:tcPr>
          <w:p>
            <w:r>
              <w:rPr>
                <w:rFonts w:ascii="Calibri" w:cs="Calibri" w:eastAsia="Calibri" w:hAnsi="Calibri"/>
                <w:b w:val="false"/>
                <w:bCs w:val="false"/>
                <w:i w:val="false"/>
                <w:iCs w:val="false"/>
                <w:color w:val="000000"/>
                <w:sz w:val="20"/>
                <w:szCs w:val="20"/>
              </w:rPr>
              <w:t xml:space="preserve">Never repeat a file name across FYs — the [FY] token is the first, non-negotiable, part of every file name</w:t>
            </w:r>
          </w:p>
        </w:tc>
      </w:tr>
    </w:tbl>
    <w:p>
      <w:pPr>
        <w:spacing w:after="160" w:before="0"/>
      </w:pPr>
      <w:r>
        <w:rPr>
          <w:rFonts w:ascii="Calibri" w:cs="Calibri" w:eastAsia="Calibri" w:hAnsi="Calibri"/>
          <w:b w:val="false"/>
          <w:bCs w:val="false"/>
          <w:i w:val="false"/>
          <w:iCs w:val="false"/>
          <w:color w:val="000000"/>
          <w:sz w:val="22"/>
          <w:szCs w:val="22"/>
        </w:rPr>
        <w:t xml:space="preserve"/>
      </w:r>
    </w:p>
    <w:tbl>
      <w:tblPr>
        <w:tblW w:type="auto" w:w="10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shd w:fill="FFF4CE" w:color="auto" w:val="clear"/>
            <w:tcMar>
              <w:top w:type="dxa" w:w="160"/>
              <w:left w:type="dxa" w:w="200"/>
              <w:bottom w:type="dxa" w:w="160"/>
              <w:right w:type="dxa" w:w="200"/>
            </w:tcMar>
          </w:tcPr>
          <w:p>
            <w:r>
              <w:rPr>
                <w:rFonts w:ascii="Calibri" w:cs="Calibri" w:eastAsia="Calibri" w:hAnsi="Calibri"/>
                <w:b/>
                <w:bCs/>
                <w:color w:val="13253C"/>
                <w:sz w:val="22"/>
                <w:szCs w:val="22"/>
              </w:rPr>
              <w:t xml:space="preserve">This folder structure and file-naming convention is the anchor for every other file in this bundle. When 02 CARO Evidence, 03 ICFR Test Files, 04 Query Response Letters, and 05 Form 3CD notes refer to a "folder location", they refer to this tree.</w:t>
            </w:r>
          </w:p>
        </w:tc>
      </w:tr>
    </w:tbl>
    <w:sectPr>
      <w:headerReference w:type="default" r:id="rId7"/>
      <w:footerReference w:type="default" r:id="rId8"/>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4A4A4A"/>
        <w:sz w:val="18"/>
        <w:szCs w:val="18"/>
      </w:rPr>
      <w:t xml:space="preserve">Illustrative template — customise before sending.  Terra Insight Editorial Team  |  Version 1.0  |  2026-08-16  |  Page </w:t>
    </w:r>
    <w:r>
      <w:rPr>
        <w:rFonts w:ascii="Calibri" w:cs="Calibri" w:eastAsia="Calibri" w:hAnsi="Calibri"/>
        <w:color w:val="4A4A4A"/>
        <w:sz w:val="18"/>
        <w:szCs w:val="18"/>
      </w:rPr>
      <w:fldChar w:fldCharType="begin"/>
      <w:instrText xml:space="preserve">PAGE</w:instrText>
      <w:fldChar w:fldCharType="separate"/>
      <w:fldChar w:fldCharType="end"/>
    </w:r>
    <w:r>
      <w:rPr>
        <w:rFonts w:ascii="Calibri" w:cs="Calibri" w:eastAsia="Calibri" w:hAnsi="Calibri"/>
        <w:color w:val="4A4A4A"/>
        <w:sz w:val="18"/>
        <w:szCs w:val="18"/>
      </w:rPr>
      <w:t xml:space="preserve"> of </w:t>
    </w:r>
    <w:r>
      <w:rPr>
        <w:rFonts w:ascii="Calibri" w:cs="Calibri" w:eastAsia="Calibri" w:hAnsi="Calibri"/>
        <w:color w:val="4A4A4A"/>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6DEE8" w:sz="8" w:space="4"/>
      </w:pBdr>
    </w:pPr>
    <w:r>
      <w:rPr>
        <w:rFonts w:ascii="Helvetica" w:cs="Helvetica" w:eastAsia="Helvetica" w:hAnsi="Helvetica"/>
        <w:b/>
        <w:bCs/>
        <w:color w:val="1E3A5F"/>
        <w:sz w:val="20"/>
        <w:szCs w:val="20"/>
      </w:rPr>
      <w:t xml:space="preserve">Terra Insight</w:t>
    </w:r>
    <w:r>
      <w:rPr>
        <w:rFonts w:ascii="Helvetica" w:cs="Helvetica" w:eastAsia="Helvetica" w:hAnsi="Helvetica"/>
        <w:color w:val="4A4A4A"/>
        <w:sz w:val="20"/>
        <w:szCs w:val="20"/>
      </w:rPr>
      <w:t xml:space="preserve">  |  </w:t>
    </w:r>
    <w:r>
      <w:rPr>
        <w:rFonts w:ascii="Helvetica" w:cs="Helvetica" w:eastAsia="Helvetica" w:hAnsi="Helvetica"/>
        <w:color w:val="4A4A4A"/>
        <w:sz w:val="20"/>
        <w:szCs w:val="20"/>
      </w:rPr>
      <w:t xml:space="preserve">01 — Working Papers Folder Structure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260"/>
      </w:pPr>
    </w:lvl>
    <w:lvl w:ilvl="1" w15:tentative="1">
      <w:start w:val="1"/>
      <w:numFmt w:val="bullet"/>
      <w:lvlText w:val="◦"/>
      <w:lvlJc w:val="left"/>
      <w:pPr>
        <w:ind w:left="720" w:hanging="260"/>
      </w:pPr>
    </w:lvl>
    <w:lvl w:ilvl="2" w15:tentative="1">
      <w:start w:val="1"/>
      <w:numFmt w:val="bullet"/>
      <w:lvlText w:val="▪"/>
      <w:lvlJc w:val="left"/>
      <w:pPr>
        <w:ind w:left="108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Normal">
    <w:name w:val="Normal"/>
    <w:pPr>
      <w:spacing w:after="120" w:line="300"/>
    </w:pPr>
    <w:rPr>
      <w:rFonts w:ascii="Calibri" w:cs="Calibri" w:eastAsia="Calibri" w:hAnsi="Calibri"/>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 — Working Papers Folder Structure</dc:title>
  <dc:creator>Terra Insight Editorial Team</dc:creator>
  <cp:lastModifiedBy>Un-named</cp:lastModifiedBy>
  <cp:revision>1</cp:revision>
  <dcterms:created xsi:type="dcterms:W3CDTF">2026-08-23T15:07:00.335Z</dcterms:created>
  <dcterms:modified xsi:type="dcterms:W3CDTF">2026-08-23T15:07:00.339Z</dcterms:modified>
</cp:coreProperties>
</file>

<file path=docProps/custom.xml><?xml version="1.0" encoding="utf-8"?>
<Properties xmlns="http://schemas.openxmlformats.org/officeDocument/2006/custom-properties" xmlns:vt="http://schemas.openxmlformats.org/officeDocument/2006/docPropsVTypes"/>
</file>