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400"/>
      </w:pPr>
      <w:r>
        <w:rPr>
          <w:rFonts w:ascii="Helvetica" w:cs="Helvetica" w:eastAsia="Helvetica" w:hAnsi="Helvetica"/>
          <w:b/>
          <w:bCs/>
          <w:color w:val="1E3A5F"/>
          <w:spacing w:val="40"/>
          <w:sz w:val="24"/>
          <w:szCs w:val="24"/>
        </w:rPr>
        <w:t xml:space="preserve">TERRA INSIGHT</w:t>
      </w:r>
    </w:p>
    <w:p>
      <w:pPr>
        <w:spacing w:after="400"/>
      </w:pPr>
      <w:r>
        <w:rPr>
          <w:rFonts w:ascii="Calibri" w:cs="Calibri" w:eastAsia="Calibri" w:hAnsi="Calibri"/>
          <w:i/>
          <w:iCs/>
          <w:color w:val="4A4A4A"/>
          <w:sz w:val="22"/>
          <w:szCs w:val="22"/>
        </w:rPr>
        <w:t xml:space="preserve">Editorial Team — Audit-Season Practitioner Series</w:t>
      </w:r>
    </w:p>
    <w:p>
      <w:pPr>
        <w:pBdr>
          <w:top w:val="single" w:color="1E3A5F" w:sz="18" w:space="4"/>
        </w:pBdr>
        <w:spacing w:after="120"/>
      </w:pPr>
    </w:p>
    <w:p>
      <w:pPr>
        <w:spacing w:after="200" w:before="320"/>
      </w:pPr>
      <w:r>
        <w:rPr>
          <w:rFonts w:ascii="Helvetica" w:cs="Helvetica" w:eastAsia="Helvetica" w:hAnsi="Helvetica"/>
          <w:b/>
          <w:bCs/>
          <w:color w:val="13253C"/>
          <w:sz w:val="56"/>
          <w:szCs w:val="56"/>
        </w:rPr>
        <w:t xml:space="preserve">Statutory Audit Preparation Kit</w:t>
      </w:r>
    </w:p>
    <w:p>
      <w:pPr>
        <w:spacing w:after="320"/>
      </w:pPr>
      <w:r>
        <w:rPr>
          <w:rFonts w:ascii="Calibri" w:cs="Calibri" w:eastAsia="Calibri" w:hAnsi="Calibri"/>
          <w:i/>
          <w:iCs/>
          <w:color w:val="4A4A4A"/>
          <w:sz w:val="26"/>
          <w:szCs w:val="26"/>
        </w:rPr>
        <w:t xml:space="preserve">The working papers folder structure + control evidence checklist + query-response letter templates for Indian Q4 audit season.</w:t>
      </w:r>
    </w:p>
    <w:p>
      <w:pPr>
        <w:pBdr>
          <w:bottom w:val="single" w:color="1E3A5F" w:sz="18" w:space="4"/>
        </w:pBdr>
        <w:spacing w:after="400"/>
      </w:pPr>
    </w:p>
    <w:p>
      <w:pPr>
        <w:spacing w:after="60"/>
      </w:pPr>
      <w:r>
        <w:rPr>
          <w:rFonts w:ascii="Helvetica" w:cs="Helvetica" w:eastAsia="Helvetica" w:hAnsi="Helvetica"/>
          <w:b/>
          <w:bCs/>
          <w:color w:val="1E3A5F"/>
          <w:sz w:val="22"/>
          <w:szCs w:val="22"/>
        </w:rPr>
        <w:t xml:space="preserve">Version   </w:t>
      </w:r>
      <w:r>
        <w:rPr>
          <w:rFonts w:ascii="Calibri" w:cs="Calibri" w:eastAsia="Calibri" w:hAnsi="Calibri"/>
          <w:color w:val="4A4A4A"/>
          <w:sz w:val="22"/>
          <w:szCs w:val="22"/>
        </w:rPr>
        <w:t xml:space="preserve">Version 1.0</w:t>
      </w:r>
    </w:p>
    <w:p>
      <w:pPr>
        <w:spacing w:after="60"/>
      </w:pPr>
      <w:r>
        <w:rPr>
          <w:rFonts w:ascii="Helvetica" w:cs="Helvetica" w:eastAsia="Helvetica" w:hAnsi="Helvetica"/>
          <w:b/>
          <w:bCs/>
          <w:color w:val="1E3A5F"/>
          <w:sz w:val="22"/>
          <w:szCs w:val="22"/>
        </w:rPr>
        <w:t xml:space="preserve">Release date   </w:t>
      </w:r>
      <w:r>
        <w:rPr>
          <w:rFonts w:ascii="Calibri" w:cs="Calibri" w:eastAsia="Calibri" w:hAnsi="Calibri"/>
          <w:color w:val="4A4A4A"/>
          <w:sz w:val="22"/>
          <w:szCs w:val="22"/>
        </w:rPr>
        <w:t xml:space="preserve">2026-08-16</w:t>
      </w:r>
    </w:p>
    <w:p>
      <w:pPr>
        <w:spacing w:after="60"/>
      </w:pPr>
      <w:r>
        <w:rPr>
          <w:rFonts w:ascii="Helvetica" w:cs="Helvetica" w:eastAsia="Helvetica" w:hAnsi="Helvetica"/>
          <w:b/>
          <w:bCs/>
          <w:color w:val="1E3A5F"/>
          <w:sz w:val="22"/>
          <w:szCs w:val="22"/>
        </w:rPr>
        <w:t xml:space="preserve">Author   </w:t>
      </w:r>
      <w:r>
        <w:rPr>
          <w:rFonts w:ascii="Calibri" w:cs="Calibri" w:eastAsia="Calibri" w:hAnsi="Calibri"/>
          <w:color w:val="4A4A4A"/>
          <w:sz w:val="22"/>
          <w:szCs w:val="22"/>
        </w:rPr>
        <w:t xml:space="preserve">Terra Insight Editorial Team</w:t>
      </w:r>
    </w:p>
    <w:p>
      <w:pPr>
        <w:spacing w:after="60"/>
      </w:pPr>
      <w:r>
        <w:rPr>
          <w:rFonts w:ascii="Helvetica" w:cs="Helvetica" w:eastAsia="Helvetica" w:hAnsi="Helvetica"/>
          <w:b/>
          <w:bCs/>
          <w:color w:val="1E3A5F"/>
          <w:sz w:val="22"/>
          <w:szCs w:val="22"/>
        </w:rPr>
        <w:t xml:space="preserve">Audience   </w:t>
      </w:r>
      <w:r>
        <w:rPr>
          <w:rFonts w:ascii="Calibri" w:cs="Calibri" w:eastAsia="Calibri" w:hAnsi="Calibri"/>
          <w:color w:val="4A4A4A"/>
          <w:sz w:val="22"/>
          <w:szCs w:val="22"/>
        </w:rPr>
        <w:t xml:space="preserve">Controllers, finance managers, and audit-liaison teams preparing for statutory + tax audit sign-off</w:t>
      </w:r>
    </w:p>
    <w:p>
      <w:pPr>
        <w:spacing w:after="60"/>
      </w:pPr>
      <w:r>
        <w:rPr>
          <w:rFonts w:ascii="Helvetica" w:cs="Helvetica" w:eastAsia="Helvetica" w:hAnsi="Helvetica"/>
          <w:b/>
          <w:bCs/>
          <w:color w:val="1E3A5F"/>
          <w:sz w:val="22"/>
          <w:szCs w:val="22"/>
        </w:rPr>
        <w:t xml:space="preserve">Applicable period   </w:t>
      </w:r>
      <w:r>
        <w:rPr>
          <w:rFonts w:ascii="Calibri" w:cs="Calibri" w:eastAsia="Calibri" w:hAnsi="Calibri"/>
          <w:color w:val="4A4A4A"/>
          <w:sz w:val="22"/>
          <w:szCs w:val="22"/>
        </w:rPr>
        <w:t xml:space="preserve">Financial Year 2025-26 statutory audit + Assessment Year 2026-27 tax audit</w:t>
      </w:r>
    </w:p>
    <w:p>
      <w:pPr>
        <w:spacing w:after="60"/>
      </w:pPr>
      <w:r>
        <w:rPr>
          <w:rFonts w:ascii="Helvetica" w:cs="Helvetica" w:eastAsia="Helvetica" w:hAnsi="Helvetica"/>
          <w:b/>
          <w:bCs/>
          <w:color w:val="1E3A5F"/>
          <w:sz w:val="22"/>
          <w:szCs w:val="22"/>
        </w:rPr>
        <w:t xml:space="preserve">Bundle scope   </w:t>
      </w:r>
      <w:r>
        <w:rPr>
          <w:rFonts w:ascii="Calibri" w:cs="Calibri" w:eastAsia="Calibri" w:hAnsi="Calibri"/>
          <w:color w:val="4A4A4A"/>
          <w:sz w:val="22"/>
          <w:szCs w:val="22"/>
        </w:rPr>
        <w:t xml:space="preserve">7 files — cover + 5 working documents + README</w:t>
      </w:r>
    </w:p>
    <w:p>
      <w:pPr>
        <w:spacing w:after="24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Illustrative templates. Customise every reference to [COMPANY NAME], [AUDITOR FIRM NAME], illustrative rupee figures, dates, and clause-specific context before circulating to your audit team.</w:t>
            </w:r>
          </w:p>
        </w:tc>
      </w:tr>
    </w:tbl>
    <w:p>
      <w:pPr>
        <w:spacing w:after="240" w:before="0"/>
      </w:pPr>
      <w:r>
        <w:rPr>
          <w:rFonts w:ascii="Calibri" w:cs="Calibri" w:eastAsia="Calibri" w:hAnsi="Calibri"/>
          <w:b w:val="false"/>
          <w:bCs w:val="false"/>
          <w:i w:val="false"/>
          <w:iCs w:val="false"/>
          <w:color w:val="000000"/>
          <w:sz w:val="22"/>
          <w:szCs w:val="22"/>
        </w:rPr>
        <w:t xml:space="preserve"/>
      </w:r>
    </w:p>
    <w:p>
      <w:pPr>
        <w:pStyle w:val="Heading2"/>
        <w:spacing w:after="120" w:before="240"/>
      </w:pPr>
      <w:r>
        <w:rPr>
          <w:rFonts w:ascii="Helvetica" w:cs="Helvetica" w:eastAsia="Helvetica" w:hAnsi="Helvetica"/>
          <w:b/>
          <w:bCs/>
          <w:color w:val="1E3A5F"/>
          <w:sz w:val="28"/>
          <w:szCs w:val="28"/>
        </w:rPr>
        <w:t xml:space="preserve">Bundle index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3600"/>
        <w:gridCol w:w="4860"/>
      </w:tblGrid>
      <w:tr>
        <w:trPr>
          <w:tblHeader/>
        </w:trPr>
        <w:tc>
          <w:tcPr>
            <w:tcW w:type="dxa" w:w="9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w:t>
            </w:r>
          </w:p>
        </w:tc>
        <w:tc>
          <w:tcPr>
            <w:tcW w:type="dxa" w:w="36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File</w:t>
            </w:r>
          </w:p>
        </w:tc>
        <w:tc>
          <w:tcPr>
            <w:tcW w:type="dxa" w:w="486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Purpose</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00</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00-Cover-Sheet.docx</w:t>
            </w:r>
          </w:p>
        </w:tc>
        <w:tc>
          <w:tcPr>
            <w:tcW w:type="dxa" w:w="48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This document — kit overview + version metadata + bundle index</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01</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01-Working-Papers-Folder-Structure.docx</w:t>
            </w:r>
          </w:p>
        </w:tc>
        <w:tc>
          <w:tcPr>
            <w:tcW w:type="dxa" w:w="48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Level 1–5 folder hierarchy for statutory + tax audit working papers, with file-naming and 8-year retention policy</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02</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02-CARO-2020-Evidence-Checklist.docx</w:t>
            </w:r>
          </w:p>
        </w:tc>
        <w:tc>
          <w:tcPr>
            <w:tcW w:type="dxa" w:w="48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Clause-by-clause evidence sign-off checklist across all 21 CARO 2020 reporting clauses</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03</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03-ICFR-Control-Evidence-Checklist.docx</w:t>
            </w:r>
          </w:p>
        </w:tc>
        <w:tc>
          <w:tcPr>
            <w:tcW w:type="dxa" w:w="48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Section 143(3)(i) ICFR test file — five control categories, roughly 25 controls, sign-off matrix and test evidence log</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04</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04-Query-Response-Letter-Templates.docx</w:t>
            </w:r>
          </w:p>
        </w:tc>
        <w:tc>
          <w:tcPr>
            <w:tcW w:type="dxa" w:w="48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Eight audit query response letter templates — TDS, GST, MSME, bank reconciliation, related party, forex, Section 194Q, CSR</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05</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05-Tax-Audit-Form-3CD-Preparation.docx</w:t>
            </w:r>
          </w:p>
        </w:tc>
        <w:tc>
          <w:tcPr>
            <w:tcW w:type="dxa" w:w="48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Form 3CD clause-by-clause preparation notes — Clauses 21, 22, 27, 30C, 34</w:t>
            </w:r>
          </w:p>
        </w:tc>
      </w:tr>
      <w:tr>
        <w:tc>
          <w:tcPr>
            <w:tcW w:type="dxa" w:w="9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06</w:t>
            </w:r>
          </w:p>
        </w:tc>
        <w:tc>
          <w:tcPr>
            <w:tcW w:type="dxa" w:w="36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README.md</w:t>
            </w:r>
          </w:p>
        </w:tc>
        <w:tc>
          <w:tcPr>
            <w:tcW w:type="dxa" w:w="48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Bundle overview, placeholder glossary, FAQ, and cross-links to related Terra Insight resources</w:t>
            </w:r>
          </w:p>
        </w:tc>
      </w:tr>
    </w:tbl>
    <w:p>
      <w:pPr>
        <w:pStyle w:val="Heading2"/>
        <w:spacing w:after="120" w:before="240"/>
      </w:pPr>
      <w:r>
        <w:rPr>
          <w:rFonts w:ascii="Helvetica" w:cs="Helvetica" w:eastAsia="Helvetica" w:hAnsi="Helvetica"/>
          <w:b/>
          <w:bCs/>
          <w:color w:val="1E3A5F"/>
          <w:sz w:val="28"/>
          <w:szCs w:val="28"/>
        </w:rPr>
        <w:t xml:space="preserve">Recommended sequence of use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Set up 01 folder structure first — every downstream artefact points to a folder in that tree.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Populate 02 CARO evidence and 03 ICFR test file continuously across the year, not at year-end.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Use 05 Form 3CD notes to align Clause 21 / 22 / 27 / 30C / 34 preparation with the folder tree.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Reach for 04 query response templates only when the auditor raises a formal observation letter.</w:t>
      </w:r>
    </w:p>
    <w:p>
      <w:pPr>
        <w:pStyle w:val="Heading2"/>
        <w:spacing w:after="120" w:before="240"/>
      </w:pPr>
      <w:r>
        <w:rPr>
          <w:rFonts w:ascii="Helvetica" w:cs="Helvetica" w:eastAsia="Helvetica" w:hAnsi="Helvetica"/>
          <w:b/>
          <w:bCs/>
          <w:color w:val="1E3A5F"/>
          <w:sz w:val="28"/>
          <w:szCs w:val="28"/>
        </w:rPr>
        <w:t xml:space="preserve">How this kit connects to the wider Terra Insight library</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Reconciliation Manager Field Guide — the day-to-day playbook the working papers in this kit will draw from.</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Reconciliation Process Design eBook — the "why" behind the folder tree — process maps, control points, evidence flows.</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Three-Way ITC Workbook — populates Folder 4_GST_Working_Papers with the GSTR-1 / GSTR-2B / GSTR-3B reconciliation.</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Vendor GSTR-1 Follow-Up Letter Pack — closes exceptions that surface in Folder 4 during Q4 preparation.</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Controllers Toolkit — the variance taxonomy referenced by CARO Clauses (xii), (xvii), and (xix).</w:t>
      </w:r>
    </w:p>
    <w:p>
      <w:pPr>
        <w:spacing w:after="20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Every letter, checklist, and register in this bundle is illustrative. Rupee figures, deductor counts, ageing buckets, and clause references must be replaced with your entity’s own numbers before submission to the statutory or tax auditor. This kit is not a substitute for professional judgement.</w:t>
            </w:r>
          </w:p>
        </w:tc>
      </w:tr>
    </w:tbl>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4A4A4A"/>
        <w:sz w:val="18"/>
        <w:szCs w:val="18"/>
      </w:rPr>
      <w:t xml:space="preserve">Illustrative template — customise before sending.  Terra Insight Editorial Team  |  Version 1.0  |  2026-08-16  |  Page </w:t>
    </w:r>
    <w:r>
      <w:rPr>
        <w:rFonts w:ascii="Calibri" w:cs="Calibri" w:eastAsia="Calibri" w:hAnsi="Calibri"/>
        <w:color w:val="4A4A4A"/>
        <w:sz w:val="18"/>
        <w:szCs w:val="18"/>
      </w:rPr>
      <w:fldChar w:fldCharType="begin"/>
      <w:instrText xml:space="preserve">PAGE</w:instrText>
      <w:fldChar w:fldCharType="separate"/>
      <w:fldChar w:fldCharType="end"/>
    </w:r>
    <w:r>
      <w:rPr>
        <w:rFonts w:ascii="Calibri" w:cs="Calibri" w:eastAsia="Calibri" w:hAnsi="Calibri"/>
        <w:color w:val="4A4A4A"/>
        <w:sz w:val="18"/>
        <w:szCs w:val="18"/>
      </w:rPr>
      <w:t xml:space="preserve"> of </w:t>
    </w:r>
    <w:r>
      <w:rPr>
        <w:rFonts w:ascii="Calibri" w:cs="Calibri" w:eastAsia="Calibri" w:hAnsi="Calibri"/>
        <w:color w:val="4A4A4A"/>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6DEE8" w:sz="8" w:space="4"/>
      </w:pBdr>
    </w:pPr>
    <w:r>
      <w:rPr>
        <w:rFonts w:ascii="Helvetica" w:cs="Helvetica" w:eastAsia="Helvetica" w:hAnsi="Helvetica"/>
        <w:b/>
        <w:bCs/>
        <w:color w:val="1E3A5F"/>
        <w:sz w:val="20"/>
        <w:szCs w:val="20"/>
      </w:rPr>
      <w:t xml:space="preserve">Terra Insight</w:t>
    </w:r>
    <w:r>
      <w:rPr>
        <w:rFonts w:ascii="Helvetica" w:cs="Helvetica" w:eastAsia="Helvetica" w:hAnsi="Helvetica"/>
        <w:color w:val="4A4A4A"/>
        <w:sz w:val="20"/>
        <w:szCs w:val="20"/>
      </w:rPr>
      <w:t xml:space="preserve">  |  </w:t>
    </w:r>
    <w:r>
      <w:rPr>
        <w:rFonts w:ascii="Helvetica" w:cs="Helvetica" w:eastAsia="Helvetica" w:hAnsi="Helvetica"/>
        <w:color w:val="4A4A4A"/>
        <w:sz w:val="20"/>
        <w:szCs w:val="20"/>
      </w:rPr>
      <w:t xml:space="preserve">Statutory Audit Preparation Kit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60"/>
      </w:pPr>
    </w:lvl>
    <w:lvl w:ilvl="1" w15:tentative="1">
      <w:start w:val="1"/>
      <w:numFmt w:val="bullet"/>
      <w:lvlText w:val="◦"/>
      <w:lvlJc w:val="left"/>
      <w:pPr>
        <w:ind w:left="720" w:hanging="260"/>
      </w:pPr>
    </w:lvl>
    <w:lvl w:ilvl="2" w15:tentative="1">
      <w:start w:val="1"/>
      <w:numFmt w:val="bullet"/>
      <w:lvlText w:val="▪"/>
      <w:lvlJc w:val="left"/>
      <w:pPr>
        <w:ind w:left="108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pPr>
      <w:spacing w:after="120" w:line="300"/>
    </w:pPr>
    <w:rPr>
      <w:rFonts w:ascii="Calibri" w:cs="Calibri" w:eastAsia="Calibri" w:hAnsi="Calibri"/>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Audit Preparation Kit</dc:title>
  <dc:creator>Terra Insight Editorial Team</dc:creator>
  <dc:description>Terra Insight — Q4 audit-season practitioner bundle</dc:description>
  <cp:lastModifiedBy>Un-named</cp:lastModifiedBy>
  <cp:revision>1</cp:revision>
  <dcterms:created xsi:type="dcterms:W3CDTF">2026-08-23T15:05:29.788Z</dcterms:created>
  <dcterms:modified xsi:type="dcterms:W3CDTF">2026-08-23T15:05:29.797Z</dcterms:modified>
</cp:coreProperties>
</file>

<file path=docProps/custom.xml><?xml version="1.0" encoding="utf-8"?>
<Properties xmlns="http://schemas.openxmlformats.org/officeDocument/2006/custom-properties" xmlns:vt="http://schemas.openxmlformats.org/officeDocument/2006/docPropsVTypes"/>
</file>