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120"/>
        <w:jc w:val="left"/>
      </w:pPr>
      <w:r>
        <w:rPr>
          <w:rFonts w:ascii="Calibri" w:cs="Calibri" w:eastAsia="Calibri" w:hAnsi="Calibri"/>
          <w:b/>
          <w:bCs/>
          <w:i w:val="false"/>
          <w:iCs w:val="false"/>
          <w:color w:val="0F2B46"/>
          <w:sz w:val="32"/>
          <w:szCs w:val="32"/>
        </w:rPr>
        <w:t xml:space="preserve">Level 3 — March 31 Correction Statement Request</w:t>
      </w:r>
    </w:p>
    <w:p>
      <w:pPr>
        <w:spacing w:after="200" w:before="60" w:line="300"/>
        <w:jc w:val="left"/>
      </w:pPr>
      <w:r>
        <w:rPr>
          <w:rFonts w:ascii="Calibri" w:cs="Calibri" w:eastAsia="Calibri" w:hAnsi="Calibri"/>
          <w:b/>
          <w:bCs/>
          <w:i w:val="false"/>
          <w:iCs w:val="false"/>
          <w:color w:val="0F2B46"/>
          <w:sz w:val="18"/>
          <w:szCs w:val="18"/>
        </w:rPr>
        <w:t xml:space="preserve">Issued in Q3 of the financial year (October or November) against the 31 March correction deadline.  </w:t>
      </w:r>
      <w:r>
        <w:rPr>
          <w:rFonts w:ascii="Calibri" w:cs="Calibri" w:eastAsia="Calibri" w:hAnsi="Calibri"/>
          <w:b w:val="false"/>
          <w:bCs w:val="false"/>
          <w:i w:val="false"/>
          <w:iCs w:val="false"/>
          <w:color w:val="4A5568"/>
          <w:sz w:val="18"/>
          <w:szCs w:val="18"/>
        </w:rPr>
        <w:t xml:space="preserve">Owner: tax manager drafts and signs, controller reviews before send.  </w:t>
      </w:r>
      <w:r>
        <w:rPr>
          <w:rFonts w:ascii="Calibri" w:cs="Calibri" w:eastAsia="Calibri" w:hAnsi="Calibri"/>
          <w:b w:val="false"/>
          <w:bCs w:val="false"/>
          <w:i w:val="false"/>
          <w:iCs w:val="false"/>
          <w:color w:val="4A5568"/>
          <w:sz w:val="18"/>
          <w:szCs w:val="18"/>
        </w:rPr>
        <w:t xml:space="preserve">Next escalation: Level 4 if no correction filed by 15 December preceding March 31.</w:t>
      </w:r>
    </w:p>
    <w:p>
      <w:pPr>
        <w:pBdr>
          <w:top w:val="single" w:color="7C5A00" w:sz="4" w:space="4"/>
          <w:bottom w:val="single" w:color="7C5A00" w:sz="4" w:space="4"/>
          <w:left w:val="single" w:color="7C5A00" w:sz="4" w:space="4"/>
          <w:right w:val="single" w:color="7C5A00" w:sz="4" w:space="4"/>
        </w:pBdr>
        <w:shd w:fill="FFF3CD" w:color="auto" w:val="clear"/>
        <w:spacing w:after="200" w:before="60"/>
      </w:pPr>
      <w:r>
        <w:rPr>
          <w:rFonts w:ascii="Calibri" w:cs="Calibri" w:eastAsia="Calibri" w:hAnsi="Calibri"/>
          <w:b/>
          <w:bCs/>
          <w:i w:val="false"/>
          <w:iCs w:val="false"/>
          <w:color w:val="7C5A00"/>
          <w:sz w:val="18"/>
          <w:szCs w:val="18"/>
        </w:rPr>
        <w:t xml:space="preserve">CUSTOMISE BEFORE SENDING  ·  </w:t>
      </w:r>
      <w:r>
        <w:rPr>
          <w:rFonts w:ascii="Calibri" w:cs="Calibri" w:eastAsia="Calibri" w:hAnsi="Calibri"/>
          <w:b w:val="false"/>
          <w:bCs w:val="false"/>
          <w:i w:val="false"/>
          <w:iCs w:val="false"/>
          <w:color w:val="7C5A00"/>
          <w:sz w:val="18"/>
          <w:szCs w:val="18"/>
        </w:rPr>
        <w:t xml:space="preserve">Replace every placeholder in square brackets. Verify Section 197 certificate register and Section 206AA PAN status on the deductor’s records before issue. Confirm the Form 168 filing due date for the quarter has passed. Refresh Section 201(1A) interest to the current computation date.</w:t>
      </w:r>
    </w:p>
    <w:p>
      <w:pPr>
        <w:pStyle w:val="Heading3"/>
        <w:spacing w:after="60" w:before="160"/>
        <w:jc w:val="left"/>
      </w:pPr>
      <w:r>
        <w:rPr>
          <w:rFonts w:ascii="Calibri" w:cs="Calibri" w:eastAsia="Calibri" w:hAnsi="Calibri"/>
          <w:b/>
          <w:bCs/>
          <w:i w:val="false"/>
          <w:iCs w:val="false"/>
          <w:color w:val="4A5568"/>
          <w:sz w:val="22"/>
          <w:szCs w:val="22"/>
        </w:rPr>
        <w:t xml:space="preserve">Statute anchor</w:t>
      </w:r>
    </w:p>
    <w:p>
      <w:pPr>
        <w:spacing w:after="120" w:before="60" w:line="300"/>
        <w:jc w:val="left"/>
      </w:pPr>
      <w:r>
        <w:rPr>
          <w:rFonts w:ascii="Calibri" w:cs="Calibri" w:eastAsia="Calibri" w:hAnsi="Calibri"/>
          <w:b w:val="false"/>
          <w:bCs w:val="false"/>
          <w:i w:val="false"/>
          <w:iCs w:val="false"/>
          <w:color w:val="111827"/>
          <w:sz w:val="22"/>
          <w:szCs w:val="22"/>
        </w:rPr>
        <w:t xml:space="preserve">Section 200A read with Section 154, Income-tax Act 2025 — processing of TDS statements and correction of apparent mistakes. Where the return of TDS is furnished and any arithmetical error, incorrect claim, short deduction, short deposit, or classification mismatch is apparent, the correction workflow under Section 200A read with Section 154 allows the deductor to file a correction statement addressing challan mismatch, PAN error, or payment code drift. CBDT notification of 31 March 2026 as the last date for filing TDS correction statements for quarters of FY 2018-19 through FY 2022-23 — beyond this date no correction statement will be accepted through the TRACES portal for the five financial years covered, and the credit position on Form 26AS (or Form 168 for the transitional-year portion) becomes irreversible. Form 27EQ correction cycle applies to TCS statements under the same processing framework where a TCS shortfall is in issue.</w:t>
      </w:r>
    </w:p>
    <w:p>
      <w:pPr>
        <w:pStyle w:val="Heading3"/>
        <w:spacing w:after="60" w:before="160"/>
        <w:jc w:val="left"/>
      </w:pPr>
      <w:r>
        <w:rPr>
          <w:rFonts w:ascii="Calibri" w:cs="Calibri" w:eastAsia="Calibri" w:hAnsi="Calibri"/>
          <w:b/>
          <w:bCs/>
          <w:i w:val="false"/>
          <w:iCs w:val="false"/>
          <w:color w:val="4A5568"/>
          <w:sz w:val="22"/>
          <w:szCs w:val="22"/>
        </w:rPr>
        <w:t xml:space="preserve">Why Level 3 is time-boxed to Q3</w:t>
      </w:r>
    </w:p>
    <w:p>
      <w:pPr>
        <w:spacing w:after="120" w:before="60" w:line="300"/>
        <w:jc w:val="left"/>
      </w:pPr>
      <w:r>
        <w:rPr>
          <w:rFonts w:ascii="Calibri" w:cs="Calibri" w:eastAsia="Calibri" w:hAnsi="Calibri"/>
          <w:b w:val="false"/>
          <w:bCs w:val="false"/>
          <w:i w:val="false"/>
          <w:iCs w:val="false"/>
          <w:color w:val="111827"/>
          <w:sz w:val="22"/>
          <w:szCs w:val="22"/>
        </w:rPr>
        <w:t xml:space="preserve">A Level 3 letter issued in October or November leaves the deductor’s tax team four to five months to file the correction, receive TRACES processing feedback, and address any rejection before the 31 March deadline closes. A Level 3 letter issued in February or March is technically valid but leaves no operational runway — where the aging clock has slipped that far, the ladder moves directly to Level 4 rather than continue with a correction request that cannot be executed in time.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40" w:before="0" w:line="260"/>
      </w:pPr>
      <w:r>
        <w:rPr>
          <w:rFonts w:ascii="Calibri" w:cs="Calibri" w:eastAsia="Calibri" w:hAnsi="Calibri"/>
          <w:b/>
          <w:bCs/>
          <w:i w:val="false"/>
          <w:iCs w:val="false"/>
          <w:color w:val="111827"/>
          <w:sz w:val="22"/>
          <w:szCs w:val="22"/>
        </w:rPr>
        <w:t xml:space="preserve">To: </w:t>
      </w:r>
      <w:r>
        <w:rPr>
          <w:rFonts w:ascii="Calibri" w:cs="Calibri" w:eastAsia="Calibri" w:hAnsi="Calibri"/>
          <w:b w:val="false"/>
          <w:bCs w:val="false"/>
          <w:i w:val="false"/>
          <w:iCs w:val="false"/>
          <w:color w:val="111827"/>
          <w:sz w:val="22"/>
          <w:szCs w:val="22"/>
        </w:rPr>
        <w:t xml:space="preserve">[DEDUCTOR CFO NAME], [DEDUCTOR NAME]  ·  TAN [DEDUCTOR TAN]  ·  PAN [DEDUCTOR PAN]</w:t>
      </w:r>
    </w:p>
    <w:p>
      <w:pPr>
        <w:spacing w:after="40" w:before="0" w:line="260"/>
      </w:pPr>
      <w:r>
        <w:rPr>
          <w:rFonts w:ascii="Calibri" w:cs="Calibri" w:eastAsia="Calibri" w:hAnsi="Calibri"/>
          <w:b/>
          <w:bCs/>
          <w:i w:val="false"/>
          <w:iCs w:val="false"/>
          <w:color w:val="111827"/>
          <w:sz w:val="22"/>
          <w:szCs w:val="22"/>
        </w:rPr>
        <w:t xml:space="preserve">Cc: </w:t>
      </w:r>
      <w:r>
        <w:rPr>
          <w:rFonts w:ascii="Calibri" w:cs="Calibri" w:eastAsia="Calibri" w:hAnsi="Calibri"/>
          <w:b w:val="false"/>
          <w:bCs w:val="false"/>
          <w:i w:val="false"/>
          <w:iCs w:val="false"/>
          <w:color w:val="111827"/>
          <w:sz w:val="22"/>
          <w:szCs w:val="22"/>
        </w:rPr>
        <w:t xml:space="preserve">[DEDUCTOR HEAD OF TAX NAME]  ·  [DEDUCTOR STATUTORY AUDITOR NAME]</w:t>
      </w:r>
    </w:p>
    <w:p>
      <w:pPr>
        <w:spacing w:after="40" w:before="0" w:line="260"/>
      </w:pPr>
      <w:r>
        <w:rPr>
          <w:rFonts w:ascii="Calibri" w:cs="Calibri" w:eastAsia="Calibri" w:hAnsi="Calibri"/>
          <w:b/>
          <w:bCs/>
          <w:i w:val="false"/>
          <w:iCs w:val="false"/>
          <w:color w:val="111827"/>
          <w:sz w:val="22"/>
          <w:szCs w:val="22"/>
        </w:rPr>
        <w:t xml:space="preserve">From: </w:t>
      </w:r>
      <w:r>
        <w:rPr>
          <w:rFonts w:ascii="Calibri" w:cs="Calibri" w:eastAsia="Calibri" w:hAnsi="Calibri"/>
          <w:b w:val="false"/>
          <w:bCs w:val="false"/>
          <w:i w:val="false"/>
          <w:iCs w:val="false"/>
          <w:color w:val="111827"/>
          <w:sz w:val="22"/>
          <w:szCs w:val="22"/>
        </w:rPr>
        <w:t xml:space="preserve">[DEDUCTEE COMPANY NAME], [DEDUCTEE FINANCE HEAD NAME]</w:t>
      </w:r>
    </w:p>
    <w:p>
      <w:pPr>
        <w:spacing w:after="40" w:before="0" w:line="260"/>
      </w:pPr>
      <w:r>
        <w:rPr>
          <w:rFonts w:ascii="Calibri" w:cs="Calibri" w:eastAsia="Calibri" w:hAnsi="Calibri"/>
          <w:b/>
          <w:bCs/>
          <w:i w:val="false"/>
          <w:iCs w:val="false"/>
          <w:color w:val="111827"/>
          <w:sz w:val="22"/>
          <w:szCs w:val="22"/>
        </w:rPr>
        <w:t xml:space="preserve">Date: </w:t>
      </w:r>
      <w:r>
        <w:rPr>
          <w:rFonts w:ascii="Calibri" w:cs="Calibri" w:eastAsia="Calibri" w:hAnsi="Calibri"/>
          <w:b w:val="false"/>
          <w:bCs w:val="false"/>
          <w:i w:val="false"/>
          <w:iCs w:val="false"/>
          <w:color w:val="111827"/>
          <w:sz w:val="22"/>
          <w:szCs w:val="22"/>
        </w:rPr>
        <w:t xml:space="preserve">[DATE OF ISSUE — October or November preceding 31 March 2026]</w:t>
      </w:r>
    </w:p>
    <w:p>
      <w:pPr>
        <w:spacing w:after="120" w:before="0"/>
      </w:pPr>
      <w:r>
        <w:rPr>
          <w:rFonts w:ascii="Calibri" w:cs="Calibri" w:eastAsia="Calibri" w:hAnsi="Calibri"/>
          <w:b w:val="false"/>
          <w:bCs w:val="false"/>
          <w:i w:val="false"/>
          <w:iCs w:val="false"/>
          <w:color w:val="111827"/>
          <w:sz w:val="22"/>
          <w:szCs w:val="22"/>
        </w:rPr>
        <w:t xml:space="preserve"/>
      </w:r>
    </w:p>
    <w:p>
      <w:pPr>
        <w:pBdr>
          <w:bottom w:val="single" w:color="0F2B46" w:sz="6" w:space="4"/>
        </w:pBdr>
        <w:spacing w:after="200" w:before="120"/>
      </w:pPr>
      <w:r>
        <w:rPr>
          <w:rFonts w:ascii="Calibri" w:cs="Calibri" w:eastAsia="Calibri" w:hAnsi="Calibri"/>
          <w:b/>
          <w:bCs/>
          <w:i w:val="false"/>
          <w:iCs w:val="false"/>
          <w:color w:val="111827"/>
          <w:sz w:val="22"/>
          <w:szCs w:val="22"/>
        </w:rPr>
        <w:t xml:space="preserve">Subject: </w:t>
      </w:r>
      <w:r>
        <w:rPr>
          <w:rFonts w:ascii="Calibri" w:cs="Calibri" w:eastAsia="Calibri" w:hAnsi="Calibri"/>
          <w:b/>
          <w:bCs/>
          <w:i w:val="false"/>
          <w:iCs w:val="false"/>
          <w:color w:val="111827"/>
          <w:sz w:val="22"/>
          <w:szCs w:val="22"/>
        </w:rPr>
        <w:t xml:space="preserve">Request to file correction statement before 31 March 2026 — Invoice [INVOICE NUMBER], [QUARTER OF FY 2018-19 THROUGH FY 2022-23]</w:t>
      </w:r>
    </w:p>
    <w:p>
      <w:pPr>
        <w:spacing w:after="120" w:before="60" w:line="300"/>
        <w:jc w:val="left"/>
      </w:pPr>
      <w:r>
        <w:rPr>
          <w:rFonts w:ascii="Calibri" w:cs="Calibri" w:eastAsia="Calibri" w:hAnsi="Calibri"/>
          <w:b w:val="false"/>
          <w:bCs w:val="false"/>
          <w:i w:val="false"/>
          <w:iCs w:val="false"/>
          <w:color w:val="111827"/>
          <w:sz w:val="22"/>
          <w:szCs w:val="22"/>
        </w:rPr>
        <w:t xml:space="preserve">Dear [DEDUCTOR CFO NAME],</w:t>
      </w:r>
    </w:p>
    <w:p>
      <w:pPr>
        <w:spacing w:after="120" w:before="60" w:line="300"/>
        <w:jc w:val="left"/>
      </w:pPr>
      <w:r>
        <w:rPr>
          <w:rFonts w:ascii="Calibri" w:cs="Calibri" w:eastAsia="Calibri" w:hAnsi="Calibri"/>
          <w:b w:val="false"/>
          <w:bCs w:val="false"/>
          <w:i w:val="false"/>
          <w:iCs w:val="false"/>
          <w:color w:val="111827"/>
          <w:sz w:val="22"/>
          <w:szCs w:val="22"/>
        </w:rPr>
        <w:t xml:space="preserve">Further to our formal Form 131 request dated [LEVEL 2 DATE] (copy enclosed), regarding the Rs [EXPECTED TDS Rs] (illustratively Rs 84,200) deduction made against our invoice [INVOICE NUMBER] dated [INVOICE DATE] of Rs [INVOICE AMOUNT Rs] (illustratively Rs 8,42,000) gross exclusive of GST for [QUARTER OF FY 2018-19 THROUGH FY 2022-23], we write to request that your organisation file the appropriate correction statement on the TRACES portal before 31 March 2026.</w:t>
      </w:r>
    </w:p>
    <w:p>
      <w:pPr>
        <w:spacing w:after="120" w:before="60" w:line="300"/>
        <w:jc w:val="left"/>
      </w:pPr>
      <w:r>
        <w:rPr>
          <w:rFonts w:ascii="Calibri" w:cs="Calibri" w:eastAsia="Calibri" w:hAnsi="Calibri"/>
          <w:b w:val="false"/>
          <w:bCs w:val="false"/>
          <w:i w:val="false"/>
          <w:iCs w:val="false"/>
          <w:color w:val="111827"/>
          <w:sz w:val="22"/>
          <w:szCs w:val="22"/>
        </w:rPr>
        <w:t xml:space="preserve">The Central Board of Direct Taxes has notified 31 March 2026 as the last date for filing TDS correction statements for quarters of FY 2018-19 through FY 2022-23. Beyond this date, no correction statement will be accepted through the TRACES portal for the five financial years covered, and the credit position on Form 26AS (or Form 168 for the transitional-year portion) for those years will become irreversible for both our organisation as the deductee and your organisation as the deductor.</w:t>
      </w:r>
    </w:p>
    <w:p>
      <w:pPr>
        <w:spacing w:after="120" w:before="60" w:line="300"/>
        <w:jc w:val="left"/>
      </w:pPr>
      <w:r>
        <w:rPr>
          <w:rFonts w:ascii="Calibri" w:cs="Calibri" w:eastAsia="Calibri" w:hAnsi="Calibri"/>
          <w:b w:val="false"/>
          <w:bCs w:val="false"/>
          <w:i w:val="false"/>
          <w:iCs w:val="false"/>
          <w:color w:val="111827"/>
          <w:sz w:val="22"/>
          <w:szCs w:val="22"/>
        </w:rPr>
        <w:t xml:space="preserve">We write in [October / November] to allow your tax team four to five months of operational runway to complete the following:</w:t>
      </w:r>
    </w:p>
    <w:p>
      <w:pPr>
        <w:spacing w:after="40" w:before="40" w:line="280"/>
        <w:ind w:left="504" w:hanging="360"/>
      </w:pPr>
      <w:r>
        <w:rPr>
          <w:rFonts w:ascii="Calibri" w:cs="Calibri" w:eastAsia="Calibri" w:hAnsi="Calibri"/>
          <w:b/>
          <w:bCs/>
          <w:i w:val="false"/>
          <w:iCs w:val="false"/>
          <w:color w:val="111827"/>
          <w:sz w:val="22"/>
          <w:szCs w:val="22"/>
        </w:rPr>
        <w:t xml:space="preserve">1.  </w:t>
      </w:r>
      <w:r>
        <w:rPr>
          <w:rFonts w:ascii="Calibri" w:cs="Calibri" w:eastAsia="Calibri" w:hAnsi="Calibri"/>
          <w:b w:val="false"/>
          <w:bCs w:val="false"/>
          <w:i w:val="false"/>
          <w:iCs w:val="false"/>
          <w:color w:val="111827"/>
          <w:sz w:val="22"/>
          <w:szCs w:val="22"/>
        </w:rPr>
        <w:t xml:space="preserve">File the correction statement addressing the Rs [EXPECTED TDS Rs] deduction for [QUARTER OF FY 2018-19 THROUGH FY 2022-23] against our PAN [DEDUCTEE PAN] under the payment code (or legacy Section 194J code) applicable to the original deduction;</w:t>
      </w:r>
    </w:p>
    <w:p>
      <w:pPr>
        <w:spacing w:after="40" w:before="40" w:line="280"/>
        <w:ind w:left="504" w:hanging="360"/>
      </w:pPr>
      <w:r>
        <w:rPr>
          <w:rFonts w:ascii="Calibri" w:cs="Calibri" w:eastAsia="Calibri" w:hAnsi="Calibri"/>
          <w:b/>
          <w:bCs/>
          <w:i w:val="false"/>
          <w:iCs w:val="false"/>
          <w:color w:val="111827"/>
          <w:sz w:val="22"/>
          <w:szCs w:val="22"/>
        </w:rPr>
        <w:t xml:space="preserve">2.  </w:t>
      </w:r>
      <w:r>
        <w:rPr>
          <w:rFonts w:ascii="Calibri" w:cs="Calibri" w:eastAsia="Calibri" w:hAnsi="Calibri"/>
          <w:b w:val="false"/>
          <w:bCs w:val="false"/>
          <w:i w:val="false"/>
          <w:iCs w:val="false"/>
          <w:color w:val="111827"/>
          <w:sz w:val="22"/>
          <w:szCs w:val="22"/>
        </w:rPr>
        <w:t xml:space="preserve">Address any TRACES processing objection or rejection that may arise from the correction submission, allowing sufficient time for a resubmission before the deadline;</w:t>
      </w:r>
    </w:p>
    <w:p>
      <w:pPr>
        <w:spacing w:after="40" w:before="40" w:line="280"/>
        <w:ind w:left="504" w:hanging="360"/>
      </w:pPr>
      <w:r>
        <w:rPr>
          <w:rFonts w:ascii="Calibri" w:cs="Calibri" w:eastAsia="Calibri" w:hAnsi="Calibri"/>
          <w:b/>
          <w:bCs/>
          <w:i w:val="false"/>
          <w:iCs w:val="false"/>
          <w:color w:val="111827"/>
          <w:sz w:val="22"/>
          <w:szCs w:val="22"/>
        </w:rPr>
        <w:t xml:space="preserve">3.  </w:t>
      </w:r>
      <w:r>
        <w:rPr>
          <w:rFonts w:ascii="Calibri" w:cs="Calibri" w:eastAsia="Calibri" w:hAnsi="Calibri"/>
          <w:b w:val="false"/>
          <w:bCs w:val="false"/>
          <w:i w:val="false"/>
          <w:iCs w:val="false"/>
          <w:color w:val="111827"/>
          <w:sz w:val="22"/>
          <w:szCs w:val="22"/>
        </w:rPr>
        <w:t xml:space="preserve">Issue the corresponding corrected Form 131 certificate to our organisation once the correction has been accepted;</w:t>
      </w:r>
    </w:p>
    <w:p>
      <w:pPr>
        <w:spacing w:after="40" w:before="40" w:line="280"/>
        <w:ind w:left="504" w:hanging="360"/>
      </w:pPr>
      <w:r>
        <w:rPr>
          <w:rFonts w:ascii="Calibri" w:cs="Calibri" w:eastAsia="Calibri" w:hAnsi="Calibri"/>
          <w:b/>
          <w:bCs/>
          <w:i w:val="false"/>
          <w:iCs w:val="false"/>
          <w:color w:val="111827"/>
          <w:sz w:val="22"/>
          <w:szCs w:val="22"/>
        </w:rPr>
        <w:t xml:space="preserve">4.  </w:t>
      </w:r>
      <w:r>
        <w:rPr>
          <w:rFonts w:ascii="Calibri" w:cs="Calibri" w:eastAsia="Calibri" w:hAnsi="Calibri"/>
          <w:b w:val="false"/>
          <w:bCs w:val="false"/>
          <w:i w:val="false"/>
          <w:iCs w:val="false"/>
          <w:color w:val="111827"/>
          <w:sz w:val="22"/>
          <w:szCs w:val="22"/>
        </w:rPr>
        <w:t xml:space="preserve">Confirm the CIN of the original challan deposit against which the correction is being mapped, for our records.</w:t>
      </w:r>
    </w:p>
    <w:p>
      <w:pPr>
        <w:spacing w:after="120" w:before="60" w:line="300"/>
        <w:jc w:val="left"/>
      </w:pPr>
      <w:r>
        <w:rPr>
          <w:rFonts w:ascii="Calibri" w:cs="Calibri" w:eastAsia="Calibri" w:hAnsi="Calibri"/>
          <w:b w:val="false"/>
          <w:bCs w:val="false"/>
          <w:i w:val="false"/>
          <w:iCs w:val="false"/>
          <w:color w:val="111827"/>
          <w:sz w:val="22"/>
          <w:szCs w:val="22"/>
        </w:rPr>
        <w:t xml:space="preserve">The correction is processed under Section 200A read with Section 154 of the Income-tax Act 2025 and does not attract penalty when filed voluntarily within the CBDT-notified window. Where a TCS shortfall is in issue rather than a TDS shortfall, the Form 27EQ correction cycle applies under the same Section 200A processing framework.</w:t>
      </w:r>
    </w:p>
    <w:p>
      <w:pPr>
        <w:spacing w:after="120" w:before="60" w:line="300"/>
        <w:jc w:val="left"/>
      </w:pPr>
      <w:r>
        <w:rPr>
          <w:rFonts w:ascii="Calibri" w:cs="Calibri" w:eastAsia="Calibri" w:hAnsi="Calibri"/>
          <w:b w:val="false"/>
          <w:bCs w:val="false"/>
          <w:i w:val="false"/>
          <w:iCs w:val="false"/>
          <w:color w:val="111827"/>
          <w:sz w:val="22"/>
          <w:szCs w:val="22"/>
        </w:rPr>
        <w:t xml:space="preserve">Failure to file the correction before 31 March 2026 will render the credit permanently unavailable on our records for the affected financial year. In that event, we will be constrained to record the resulting shortfall as a commercial receivable and pursue direct recovery of the shortfall principal together with accrued Section 201(1A) interest under separate correspondence.</w:t>
      </w:r>
    </w:p>
    <w:p>
      <w:pPr>
        <w:spacing w:after="120" w:before="60" w:line="300"/>
        <w:jc w:val="left"/>
      </w:pPr>
      <w:r>
        <w:rPr>
          <w:rFonts w:ascii="Calibri" w:cs="Calibri" w:eastAsia="Calibri" w:hAnsi="Calibri"/>
          <w:b w:val="false"/>
          <w:bCs w:val="false"/>
          <w:i w:val="false"/>
          <w:iCs w:val="false"/>
          <w:color w:val="111827"/>
          <w:sz w:val="22"/>
          <w:szCs w:val="22"/>
        </w:rPr>
        <w:t xml:space="preserve">Please confirm your organisation’s intent to file the correction, and a target filing date, by [RESPONSE DEADLINE — thirty days from date of issue].</w:t>
      </w:r>
    </w:p>
    <w:p>
      <w:pPr>
        <w:spacing w:after="120" w:before="0"/>
      </w:pPr>
      <w:r>
        <w:rPr>
          <w:rFonts w:ascii="Calibri" w:cs="Calibri" w:eastAsia="Calibri" w:hAnsi="Calibri"/>
          <w:b w:val="false"/>
          <w:bCs w:val="false"/>
          <w:i w:val="false"/>
          <w:iCs w:val="false"/>
          <w:color w:val="111827"/>
          <w:sz w:val="22"/>
          <w:szCs w:val="22"/>
        </w:rPr>
        <w:t xml:space="preserve"/>
      </w:r>
    </w:p>
    <w:p>
      <w:pPr>
        <w:spacing w:after="400" w:before="60" w:line="300"/>
        <w:jc w:val="left"/>
      </w:pPr>
      <w:r>
        <w:rPr>
          <w:rFonts w:ascii="Calibri" w:cs="Calibri" w:eastAsia="Calibri" w:hAnsi="Calibri"/>
          <w:b w:val="false"/>
          <w:bCs w:val="false"/>
          <w:i w:val="false"/>
          <w:iCs w:val="false"/>
          <w:color w:val="111827"/>
          <w:sz w:val="22"/>
          <w:szCs w:val="22"/>
        </w:rPr>
        <w:t xml:space="preserve">Yours sincerely,</w:t>
      </w:r>
    </w:p>
    <w:p>
      <w:pPr>
        <w:spacing w:after="40" w:before="60" w:line="300"/>
        <w:jc w:val="left"/>
      </w:pPr>
      <w:r>
        <w:rPr>
          <w:rFonts w:ascii="Calibri" w:cs="Calibri" w:eastAsia="Calibri" w:hAnsi="Calibri"/>
          <w:b/>
          <w:bCs/>
          <w:i w:val="false"/>
          <w:iCs w:val="false"/>
          <w:color w:val="111827"/>
          <w:sz w:val="22"/>
          <w:szCs w:val="22"/>
        </w:rPr>
        <w:t xml:space="preserve">[DEDUCTEE FINANCE HEAD NAME]</w:t>
      </w:r>
    </w:p>
    <w:p>
      <w:pPr>
        <w:spacing w:after="40" w:before="60" w:line="300"/>
        <w:jc w:val="left"/>
      </w:pPr>
      <w:r>
        <w:rPr>
          <w:rFonts w:ascii="Calibri" w:cs="Calibri" w:eastAsia="Calibri" w:hAnsi="Calibri"/>
          <w:b w:val="false"/>
          <w:bCs w:val="false"/>
          <w:i w:val="false"/>
          <w:iCs w:val="false"/>
          <w:color w:val="111827"/>
          <w:sz w:val="22"/>
          <w:szCs w:val="22"/>
        </w:rPr>
        <w:t xml:space="preserve">[DEDUCTEE COMPANY NAME]</w:t>
      </w:r>
    </w:p>
    <w:p>
      <w:pPr>
        <w:spacing w:after="40" w:before="60" w:line="300"/>
        <w:jc w:val="left"/>
      </w:pPr>
      <w:r>
        <w:rPr>
          <w:rFonts w:ascii="Calibri" w:cs="Calibri" w:eastAsia="Calibri" w:hAnsi="Calibri"/>
          <w:b w:val="false"/>
          <w:bCs w:val="false"/>
          <w:i w:val="false"/>
          <w:iCs w:val="false"/>
          <w:color w:val="718096"/>
          <w:sz w:val="18"/>
          <w:szCs w:val="18"/>
        </w:rPr>
        <w:t xml:space="preserve">[DEDUCTEE PAN]  ·  [DEDUCTEE TAN]</w:t>
      </w:r>
    </w:p>
    <w:p>
      <w:pPr>
        <w:spacing w:after="40" w:before="60" w:line="300"/>
        <w:jc w:val="left"/>
      </w:pPr>
      <w:r>
        <w:rPr>
          <w:rFonts w:ascii="Calibri" w:cs="Calibri" w:eastAsia="Calibri" w:hAnsi="Calibri"/>
          <w:b w:val="false"/>
          <w:bCs w:val="false"/>
          <w:i w:val="false"/>
          <w:iCs w:val="false"/>
          <w:color w:val="718096"/>
          <w:sz w:val="18"/>
          <w:szCs w:val="18"/>
        </w:rPr>
        <w:t xml:space="preserve">[DEDUCTEE COMPANY ADDRESS]</w:t>
      </w:r>
    </w:p>
    <w:p>
      <w:pPr>
        <w:spacing w:after="120" w:before="60" w:line="300"/>
        <w:jc w:val="left"/>
      </w:pPr>
      <w:r>
        <w:rPr>
          <w:rFonts w:ascii="Calibri" w:cs="Calibri" w:eastAsia="Calibri" w:hAnsi="Calibri"/>
          <w:b w:val="false"/>
          <w:bCs w:val="false"/>
          <w:i w:val="false"/>
          <w:iCs w:val="false"/>
          <w:color w:val="718096"/>
          <w:sz w:val="18"/>
          <w:szCs w:val="18"/>
        </w:rPr>
        <w:t xml:space="preserve">[FINANCE HEAD EMAIL]  ·  [FINANCE HEAD PHONE]</w:t>
      </w:r>
    </w:p>
    <w:p>
      <w:pPr>
        <w:pBdr>
          <w:bottom w:val="single" w:color="CBD5E0" w:sz="6" w:space="1"/>
        </w:pBdr>
        <w:spacing w:after="60" w:before="60"/>
      </w:pPr>
      <w:r>
        <w:rPr>
          <w:rFonts w:ascii="Calibri" w:cs="Calibri" w:eastAsia="Calibri" w:hAnsi="Calibri"/>
          <w:b w:val="false"/>
          <w:bCs w:val="false"/>
          <w:i w:val="false"/>
          <w:iCs w:val="false"/>
          <w:color w:val="111827"/>
          <w:sz w:val="22"/>
          <w:szCs w:val="22"/>
        </w:rPr>
        <w:t xml:space="preserve"/>
      </w:r>
    </w:p>
    <w:p>
      <w:pPr>
        <w:spacing w:after="120" w:before="60" w:line="300"/>
        <w:jc w:val="left"/>
      </w:pPr>
      <w:r>
        <w:rPr>
          <w:rFonts w:ascii="Calibri" w:cs="Calibri" w:eastAsia="Calibri" w:hAnsi="Calibri"/>
          <w:b/>
          <w:bCs/>
          <w:i w:val="false"/>
          <w:iCs w:val="false"/>
          <w:color w:val="4A5568"/>
          <w:sz w:val="18"/>
          <w:szCs w:val="18"/>
        </w:rPr>
        <w:t xml:space="preserve">Enclosures:  </w:t>
      </w:r>
      <w:r>
        <w:rPr>
          <w:rFonts w:ascii="Calibri" w:cs="Calibri" w:eastAsia="Calibri" w:hAnsi="Calibri"/>
          <w:b w:val="false"/>
          <w:bCs w:val="false"/>
          <w:i w:val="false"/>
          <w:iCs w:val="false"/>
          <w:color w:val="4A5568"/>
          <w:sz w:val="18"/>
          <w:szCs w:val="18"/>
        </w:rPr>
        <w:t xml:space="preserve">(1) Reconciliation working paper for Invoice [INVOICE NUMBER];  (2) Copy of Level 2 letter dated [LEVEL 2 DATE];  (3) Extract of CBDT notification setting 31 March 2026 correction deadline for FY 2018-19 through FY 2022-23.</w:t>
      </w:r>
    </w:p>
    <w:sectPr>
      <w:headerReference w:type="default" r:id="rId7"/>
      <w:footerReference w:type="default" r:id="rId8"/>
      <w:pgSz w:w="12240" w:h="15840" w:orient="portrait"/>
      <w:pgMar w:top="100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6" w:space="4"/>
      </w:pBdr>
      <w:spacing w:after="0" w:before="40"/>
      <w:jc w:val="left"/>
    </w:pPr>
    <w:r>
      <w:rPr>
        <w:rFonts w:ascii="Calibri" w:cs="Calibri" w:eastAsia="Calibri" w:hAnsi="Calibri"/>
        <w:b w:val="false"/>
        <w:bCs w:val="false"/>
        <w:i/>
        <w:iCs/>
        <w:color w:val="718096"/>
        <w:sz w:val="16"/>
        <w:szCs w:val="16"/>
      </w:rPr>
      <w:t xml:space="preserve">Illustrative template — customise before sending. </w:t>
    </w:r>
    <w:r>
      <w:rPr>
        <w:rFonts w:ascii="Calibri" w:cs="Calibri" w:eastAsia="Calibri" w:hAnsi="Calibri"/>
        <w:b w:val="false"/>
        <w:bCs w:val="false"/>
        <w:i w:val="false"/>
        <w:iCs w:val="false"/>
        <w:color w:val="718096"/>
        <w:sz w:val="16"/>
        <w:szCs w:val="16"/>
      </w:rPr>
      <w:t xml:space="preserve">Terra Insight Editorial Team.  Version 1.0, 2026-08-06.  Page </w:t>
    </w:r>
    <w:r>
      <w:rPr>
        <w:rFonts w:ascii="Calibri" w:cs="Calibri" w:eastAsia="Calibri" w:hAnsi="Calibri"/>
        <w:color w:val="718096"/>
        <w:sz w:val="16"/>
        <w:szCs w:val="16"/>
      </w:rPr>
      <w:fldChar w:fldCharType="begin"/>
      <w:instrText xml:space="preserve">PAGE</w:instrText>
      <w:fldChar w:fldCharType="separate"/>
      <w:fldChar w:fldCharType="end"/>
    </w:r>
    <w:r>
      <w:rPr>
        <w:rFonts w:ascii="Calibri" w:cs="Calibri" w:eastAsia="Calibri" w:hAnsi="Calibri"/>
        <w:b w:val="false"/>
        <w:bCs w:val="false"/>
        <w:i w:val="false"/>
        <w:iCs w:val="false"/>
        <w:color w:val="718096"/>
        <w:sz w:val="16"/>
        <w:szCs w:val="16"/>
      </w:rPr>
      <w:t xml:space="preserve"> of </w:t>
    </w:r>
    <w:r>
      <w:rPr>
        <w:rFonts w:ascii="Calibri" w:cs="Calibri" w:eastAsia="Calibri" w:hAnsi="Calibri"/>
        <w:color w:val="71809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F2B46" w:sz="12" w:space="4"/>
      </w:pBdr>
      <w:spacing w:after="40" w:before="0"/>
      <w:jc w:val="left"/>
    </w:pPr>
    <w:r>
      <w:rPr>
        <w:rFonts w:ascii="Calibri" w:cs="Calibri" w:eastAsia="Calibri" w:hAnsi="Calibri"/>
        <w:b/>
        <w:bCs/>
        <w:i w:val="false"/>
        <w:iCs w:val="false"/>
        <w:color w:val="0F2B46"/>
        <w:sz w:val="24"/>
        <w:szCs w:val="24"/>
      </w:rPr>
      <w:t xml:space="preserve">Terra Insight</w:t>
    </w:r>
    <w:r>
      <w:rPr>
        <w:rFonts w:ascii="Calibri" w:cs="Calibri" w:eastAsia="Calibri" w:hAnsi="Calibri"/>
        <w:b w:val="false"/>
        <w:bCs w:val="false"/>
        <w:i w:val="false"/>
        <w:iCs w:val="false"/>
        <w:color w:val="718096"/>
        <w:sz w:val="18"/>
        <w:szCs w:val="18"/>
      </w:rPr>
      <w:t xml:space="preserve">   |   </w:t>
    </w:r>
    <w:r>
      <w:rPr>
        <w:rFonts w:ascii="Calibri" w:cs="Calibri" w:eastAsia="Calibri" w:hAnsi="Calibri"/>
        <w:b w:val="false"/>
        <w:bCs w:val="false"/>
        <w:i w:val="false"/>
        <w:iCs w:val="false"/>
        <w:color w:val="4A5568"/>
        <w:sz w:val="18"/>
        <w:szCs w:val="18"/>
      </w:rPr>
      <w:t xml:space="preserve">Level 3 — March 31 Correction Statement Request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11827"/>
        <w:sz w:val="22"/>
        <w:szCs w:val="22"/>
      </w:rPr>
    </w:rPrDefault>
    <w:pPrDefault>
      <w:pPr>
        <w:spacing w:line="300"/>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Calibri" w:cs="Calibri" w:eastAsia="Calibri" w:hAnsi="Calibri"/>
      <w:b/>
      <w:bCs/>
      <w:color w:val="0F2B46"/>
      <w:sz w:val="32"/>
      <w:szCs w:val="32"/>
    </w:rPr>
  </w:style>
  <w:style w:type="paragraph" w:styleId="Heading2">
    <w:name w:val="Heading 2"/>
    <w:basedOn w:val="Normal"/>
    <w:next w:val="Normal"/>
    <w:qFormat/>
    <w:rPr>
      <w:rFonts w:ascii="Calibri" w:cs="Calibri" w:eastAsia="Calibri" w:hAnsi="Calibri"/>
      <w:b/>
      <w:bCs/>
      <w:color w:val="0F2B46"/>
      <w:sz w:val="24"/>
      <w:szCs w:val="24"/>
    </w:rPr>
  </w:style>
  <w:style w:type="paragraph" w:styleId="Heading3">
    <w:name w:val="Heading 3"/>
    <w:basedOn w:val="Normal"/>
    <w:next w:val="Normal"/>
    <w:qFormat/>
    <w:rPr>
      <w:rFonts w:ascii="Calibri" w:cs="Calibri" w:eastAsia="Calibri" w:hAnsi="Calibri"/>
      <w:b/>
      <w:bCs/>
      <w:color w:val="4A5568"/>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Deductor Form 168 Query Letter Pack</dc:title>
  <dc:creator>Terra Insight</dc:creator>
  <dc:description>Deductor Form 168 Query Letter Pack — Level 3 — March 31 Correction Statement Request</dc:description>
  <cp:lastModifiedBy>Un-named</cp:lastModifiedBy>
  <cp:revision>1</cp:revision>
  <dcterms:created xsi:type="dcterms:W3CDTF">2026-08-16T05:21:00.766Z</dcterms:created>
  <dcterms:modified xsi:type="dcterms:W3CDTF">2026-08-16T05:21:00.766Z</dcterms:modified>
</cp:coreProperties>
</file>

<file path=docProps/custom.xml><?xml version="1.0" encoding="utf-8"?>
<Properties xmlns="http://schemas.openxmlformats.org/officeDocument/2006/custom-properties" xmlns:vt="http://schemas.openxmlformats.org/officeDocument/2006/docPropsVTypes"/>
</file>