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800"/>
        <w:jc w:val="left"/>
      </w:pPr>
      <w:r>
        <w:rPr>
          <w:rFonts w:ascii="Calibri" w:cs="Calibri" w:eastAsia="Calibri" w:hAnsi="Calibri"/>
          <w:b/>
          <w:bCs/>
          <w:i w:val="false"/>
          <w:iCs w:val="false"/>
          <w:color w:val="0F2B46"/>
          <w:sz w:val="40"/>
          <w:szCs w:val="40"/>
        </w:rPr>
        <w:t xml:space="preserve">Terra Insight</w:t>
      </w:r>
    </w:p>
    <w:p>
      <w:pPr>
        <w:pBdr>
          <w:bottom w:val="single" w:color="0F2B46" w:sz="24" w:space="6"/>
        </w:pBdr>
        <w:spacing w:after="800" w:before="0"/>
        <w:jc w:val="left"/>
      </w:pPr>
      <w:r>
        <w:rPr>
          <w:rFonts w:ascii="Calibri" w:cs="Calibri" w:eastAsia="Calibri" w:hAnsi="Calibri"/>
          <w:b w:val="false"/>
          <w:bCs w:val="false"/>
          <w:i w:val="false"/>
          <w:iCs w:val="false"/>
          <w:color w:val="4A5568"/>
          <w:sz w:val="18"/>
          <w:szCs w:val="18"/>
        </w:rPr>
        <w:t xml:space="preserve">Reconciliation Playbook  ·  Downloadable Asset</w:t>
      </w:r>
    </w:p>
    <w:p>
      <w:pPr>
        <w:spacing w:after="120" w:before="200"/>
        <w:jc w:val="left"/>
      </w:pPr>
      <w:r>
        <w:rPr>
          <w:rFonts w:ascii="Calibri" w:cs="Calibri" w:eastAsia="Calibri" w:hAnsi="Calibri"/>
          <w:b/>
          <w:bCs/>
          <w:i w:val="false"/>
          <w:iCs w:val="false"/>
          <w:color w:val="0F2B46"/>
          <w:sz w:val="44"/>
          <w:szCs w:val="44"/>
        </w:rPr>
        <w:t xml:space="preserve">Deductor Form 168 Query Letter Pack</w:t>
      </w:r>
    </w:p>
    <w:p>
      <w:pPr>
        <w:spacing w:after="400" w:before="0"/>
        <w:jc w:val="left"/>
      </w:pPr>
      <w:r>
        <w:rPr>
          <w:rFonts w:ascii="Calibri" w:cs="Calibri" w:eastAsia="Calibri" w:hAnsi="Calibri"/>
          <w:b w:val="false"/>
          <w:bCs w:val="false"/>
          <w:i w:val="false"/>
          <w:iCs w:val="false"/>
          <w:color w:val="4A5568"/>
          <w:sz w:val="30"/>
          <w:szCs w:val="30"/>
        </w:rPr>
        <w:t xml:space="preserve">5 Escalating Templates</w:t>
      </w:r>
    </w:p>
    <w:p>
      <w:pPr>
        <w:spacing w:after="400" w:before="60" w:line="300"/>
        <w:jc w:val="left"/>
      </w:pPr>
      <w:r>
        <w:rPr>
          <w:rFonts w:ascii="Calibri" w:cs="Calibri" w:eastAsia="Calibri" w:hAnsi="Calibri"/>
          <w:b/>
          <w:bCs/>
          <w:i w:val="false"/>
          <w:iCs w:val="false"/>
          <w:color w:val="4A5568"/>
          <w:sz w:val="22"/>
          <w:szCs w:val="22"/>
        </w:rPr>
        <w:t xml:space="preserve">Version:  </w:t>
      </w:r>
      <w:r>
        <w:rPr>
          <w:rFonts w:ascii="Calibri" w:cs="Calibri" w:eastAsia="Calibri" w:hAnsi="Calibri"/>
          <w:b w:val="false"/>
          <w:bCs w:val="false"/>
          <w:i w:val="false"/>
          <w:iCs w:val="false"/>
          <w:color w:val="111827"/>
          <w:sz w:val="22"/>
          <w:szCs w:val="22"/>
        </w:rPr>
        <w:t xml:space="preserve">Version 1.0   ·   </w:t>
      </w:r>
      <w:r>
        <w:rPr>
          <w:rFonts w:ascii="Calibri" w:cs="Calibri" w:eastAsia="Calibri" w:hAnsi="Calibri"/>
          <w:b/>
          <w:bCs/>
          <w:i w:val="false"/>
          <w:iCs w:val="false"/>
          <w:color w:val="4A5568"/>
          <w:sz w:val="22"/>
          <w:szCs w:val="22"/>
        </w:rPr>
        <w:t xml:space="preserve">Dated:  </w:t>
      </w:r>
      <w:r>
        <w:rPr>
          <w:rFonts w:ascii="Calibri" w:cs="Calibri" w:eastAsia="Calibri" w:hAnsi="Calibri"/>
          <w:b w:val="false"/>
          <w:bCs w:val="false"/>
          <w:i w:val="false"/>
          <w:iCs w:val="false"/>
          <w:color w:val="111827"/>
          <w:sz w:val="22"/>
          <w:szCs w:val="22"/>
        </w:rPr>
        <w:t xml:space="preserve">2026-08-06   ·   </w:t>
      </w:r>
      <w:r>
        <w:rPr>
          <w:rFonts w:ascii="Calibri" w:cs="Calibri" w:eastAsia="Calibri" w:hAnsi="Calibri"/>
          <w:b/>
          <w:bCs/>
          <w:i w:val="false"/>
          <w:iCs w:val="false"/>
          <w:color w:val="4A5568"/>
          <w:sz w:val="22"/>
          <w:szCs w:val="22"/>
        </w:rPr>
        <w:t xml:space="preserve">Author:  </w:t>
      </w:r>
      <w:r>
        <w:rPr>
          <w:rFonts w:ascii="Calibri" w:cs="Calibri" w:eastAsia="Calibri" w:hAnsi="Calibri"/>
          <w:b w:val="false"/>
          <w:bCs w:val="false"/>
          <w:i w:val="false"/>
          <w:iCs w:val="false"/>
          <w:color w:val="111827"/>
          <w:sz w:val="22"/>
          <w:szCs w:val="22"/>
        </w:rPr>
        <w:t xml:space="preserve">Terra Insight Editorial Team</w:t>
      </w:r>
    </w:p>
    <w:p>
      <w:pPr>
        <w:pBdr>
          <w:top w:val="single" w:color="7C5A00" w:sz="4" w:space="4"/>
          <w:bottom w:val="single" w:color="7C5A00" w:sz="4" w:space="4"/>
          <w:left w:val="single" w:color="7C5A00" w:sz="4" w:space="4"/>
          <w:right w:val="single" w:color="7C5A00" w:sz="4" w:space="4"/>
        </w:pBdr>
        <w:shd w:fill="FFF3CD" w:color="auto" w:val="clear"/>
        <w:spacing w:after="200" w:before="60"/>
      </w:pPr>
      <w:r>
        <w:rPr>
          <w:rFonts w:ascii="Calibri" w:cs="Calibri" w:eastAsia="Calibri" w:hAnsi="Calibri"/>
          <w:b/>
          <w:bCs/>
          <w:i w:val="false"/>
          <w:iCs w:val="false"/>
          <w:color w:val="7C5A00"/>
          <w:sz w:val="18"/>
          <w:szCs w:val="18"/>
        </w:rPr>
        <w:t xml:space="preserve">CUSTOMISE BEFORE SENDING  ·  </w:t>
      </w:r>
      <w:r>
        <w:rPr>
          <w:rFonts w:ascii="Calibri" w:cs="Calibri" w:eastAsia="Calibri" w:hAnsi="Calibri"/>
          <w:b w:val="false"/>
          <w:bCs w:val="false"/>
          <w:i w:val="false"/>
          <w:iCs w:val="false"/>
          <w:color w:val="7C5A00"/>
          <w:sz w:val="18"/>
          <w:szCs w:val="18"/>
        </w:rPr>
        <w:t xml:space="preserve">Replace every placeholder in square brackets. Verify Section 197 certificate register and Section 206AA PAN status on the deductor’s records before issue. Confirm the Form 168 filing due date for the quarter has passed. Refresh Section 201(1A) interest to the current computation date.</w:t>
      </w:r>
    </w:p>
    <w:p>
      <w:pPr>
        <w:pStyle w:val="Heading2"/>
        <w:spacing w:after="80" w:before="200"/>
        <w:jc w:val="left"/>
      </w:pPr>
      <w:r>
        <w:rPr>
          <w:rFonts w:ascii="Calibri" w:cs="Calibri" w:eastAsia="Calibri" w:hAnsi="Calibri"/>
          <w:b/>
          <w:bCs/>
          <w:i w:val="false"/>
          <w:iCs w:val="false"/>
          <w:color w:val="0F2B46"/>
          <w:sz w:val="24"/>
          <w:szCs w:val="24"/>
        </w:rPr>
        <w:t xml:space="preserve">What is in this pack</w:t>
      </w:r>
    </w:p>
    <w:p>
      <w:pPr>
        <w:spacing w:after="120" w:before="60" w:line="300"/>
        <w:jc w:val="left"/>
      </w:pPr>
      <w:r>
        <w:rPr>
          <w:rFonts w:ascii="Calibri" w:cs="Calibri" w:eastAsia="Calibri" w:hAnsi="Calibri"/>
          <w:b w:val="false"/>
          <w:bCs w:val="false"/>
          <w:i w:val="false"/>
          <w:iCs w:val="false"/>
          <w:color w:val="111827"/>
          <w:sz w:val="22"/>
          <w:szCs w:val="22"/>
        </w:rPr>
        <w:t xml:space="preserve">Five escalating letter templates for chasing a deductor whose Form 168 credit does not match the TDS deducted from your invoice. The ladder runs from a polite query through to escalation to the deductor’s statutory auditor under CARO 2020 clause (i). Each letter carries a specific statute anchor and an aging-clock trigger.</w:t>
      </w:r>
    </w:p>
    <w:p>
      <w:pPr>
        <w:spacing w:after="300" w:before="60" w:line="300"/>
        <w:jc w:val="left"/>
      </w:pPr>
      <w:r>
        <w:rPr>
          <w:rFonts w:ascii="Calibri" w:cs="Calibri" w:eastAsia="Calibri" w:hAnsi="Calibri"/>
          <w:b/>
          <w:bCs/>
          <w:i w:val="false"/>
          <w:iCs w:val="false"/>
          <w:color w:val="111827"/>
          <w:sz w:val="22"/>
          <w:szCs w:val="22"/>
        </w:rPr>
        <w:t xml:space="preserve">Every template in this pack is illustrative. </w:t>
      </w:r>
      <w:r>
        <w:rPr>
          <w:rFonts w:ascii="Calibri" w:cs="Calibri" w:eastAsia="Calibri" w:hAnsi="Calibri"/>
          <w:b w:val="false"/>
          <w:bCs w:val="false"/>
          <w:i w:val="false"/>
          <w:iCs w:val="false"/>
          <w:color w:val="111827"/>
          <w:sz w:val="22"/>
          <w:szCs w:val="22"/>
        </w:rPr>
        <w:t xml:space="preserve">Replace every placeholder in square brackets with your own working-paper values before issue. Verify the Section 197 certificate register and the Section 206AA PAN validation status on the deductor’s records before Level 1 goes out. Refresh the Section 201(1A) interest computation against the current date before Level 4 goes out. Confirm the deductor is subject to CARO 2020 before Level 5 goes out.</w:t>
      </w:r>
    </w:p>
    <w:p>
      <w:pPr>
        <w:pStyle w:val="Heading2"/>
        <w:spacing w:after="80" w:before="200"/>
        <w:jc w:val="left"/>
      </w:pPr>
      <w:r>
        <w:rPr>
          <w:rFonts w:ascii="Calibri" w:cs="Calibri" w:eastAsia="Calibri" w:hAnsi="Calibri"/>
          <w:b/>
          <w:bCs/>
          <w:i w:val="false"/>
          <w:iCs w:val="false"/>
          <w:color w:val="0F2B46"/>
          <w:sz w:val="24"/>
          <w:szCs w:val="24"/>
        </w:rPr>
        <w:t xml:space="preserve">Letter index</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0F2B46"/>
          <w:sz w:val="22"/>
          <w:szCs w:val="22"/>
        </w:rPr>
        <w:t xml:space="preserve">01 — Level 1 Polite Query Letter</w:t>
      </w:r>
      <w:r>
        <w:rPr>
          <w:rFonts w:ascii="Calibri" w:cs="Calibri" w:eastAsia="Calibri" w:hAnsi="Calibri"/>
          <w:b w:val="false"/>
          <w:bCs w:val="false"/>
          <w:i w:val="false"/>
          <w:iCs w:val="false"/>
          <w:color w:val="111827"/>
          <w:sz w:val="22"/>
          <w:szCs w:val="22"/>
        </w:rPr>
        <w:t xml:space="preserve">  ·  Issued T+0 from discovery. Statute anchor: Section 393 (payment code 1005) + Rule 30 challan deposit + Rule 31A quarterly Form 168.</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0F2B46"/>
          <w:sz w:val="22"/>
          <w:szCs w:val="22"/>
        </w:rPr>
        <w:t xml:space="preserve">02 — Level 2 Form 131 Correction Request</w:t>
      </w:r>
      <w:r>
        <w:rPr>
          <w:rFonts w:ascii="Calibri" w:cs="Calibri" w:eastAsia="Calibri" w:hAnsi="Calibri"/>
          <w:b w:val="false"/>
          <w:bCs w:val="false"/>
          <w:i w:val="false"/>
          <w:iCs w:val="false"/>
          <w:color w:val="111827"/>
          <w:sz w:val="22"/>
          <w:szCs w:val="22"/>
        </w:rPr>
        <w:t xml:space="preserve">  ·  Issued T+30 from Level 1. Statute anchor: Rule 31A quarterly Form 131 certificate issuance obligation.</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0F2B46"/>
          <w:sz w:val="22"/>
          <w:szCs w:val="22"/>
        </w:rPr>
        <w:t xml:space="preserve">03 — Level 3 March 31 Correction Statement Request</w:t>
      </w:r>
      <w:r>
        <w:rPr>
          <w:rFonts w:ascii="Calibri" w:cs="Calibri" w:eastAsia="Calibri" w:hAnsi="Calibri"/>
          <w:b w:val="false"/>
          <w:bCs w:val="false"/>
          <w:i w:val="false"/>
          <w:iCs w:val="false"/>
          <w:color w:val="111827"/>
          <w:sz w:val="22"/>
          <w:szCs w:val="22"/>
        </w:rPr>
        <w:t xml:space="preserve">  ·  Issued in Q3 of the financial year against 31 March correction deadline. Statute anchor: Section 200A read with Section 154 + CBDT correction notification for FY 2018-19 through FY 2022-23.</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0F2B46"/>
          <w:sz w:val="22"/>
          <w:szCs w:val="22"/>
        </w:rPr>
        <w:t xml:space="preserve">04 — Level 4 Commercial Recovery Demand</w:t>
      </w:r>
      <w:r>
        <w:rPr>
          <w:rFonts w:ascii="Calibri" w:cs="Calibri" w:eastAsia="Calibri" w:hAnsi="Calibri"/>
          <w:b w:val="false"/>
          <w:bCs w:val="false"/>
          <w:i w:val="false"/>
          <w:iCs w:val="false"/>
          <w:color w:val="111827"/>
          <w:sz w:val="22"/>
          <w:szCs w:val="22"/>
        </w:rPr>
        <w:t xml:space="preserve">  ·  Issued T+90 from Level 1 (or T+30 from Level 3 with no correction filed). Statute anchor: Section 201(1A) interest at 1.5% per month from original deduction date.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0F2B46"/>
          <w:sz w:val="22"/>
          <w:szCs w:val="22"/>
        </w:rPr>
        <w:t xml:space="preserve">05 — Level 5 Statutory Auditor Escalation</w:t>
      </w:r>
      <w:r>
        <w:rPr>
          <w:rFonts w:ascii="Calibri" w:cs="Calibri" w:eastAsia="Calibri" w:hAnsi="Calibri"/>
          <w:b w:val="false"/>
          <w:bCs w:val="false"/>
          <w:i w:val="false"/>
          <w:iCs w:val="false"/>
          <w:color w:val="111827"/>
          <w:sz w:val="22"/>
          <w:szCs w:val="22"/>
        </w:rPr>
        <w:t xml:space="preserve">  ·  Issued T+150 from Level 1. Statute anchor: CARO 2020 clause (i) statutory auditor’s duty to report on regularity of TDS deposit.</w:t>
      </w:r>
    </w:p>
    <w:p>
      <w:pPr>
        <w:pStyle w:val="Heading2"/>
        <w:spacing w:after="80" w:before="200"/>
        <w:jc w:val="left"/>
      </w:pPr>
      <w:r>
        <w:rPr>
          <w:rFonts w:ascii="Calibri" w:cs="Calibri" w:eastAsia="Calibri" w:hAnsi="Calibri"/>
          <w:b/>
          <w:bCs/>
          <w:i w:val="false"/>
          <w:iCs w:val="false"/>
          <w:color w:val="0F2B46"/>
          <w:sz w:val="24"/>
          <w:szCs w:val="24"/>
        </w:rPr>
        <w:t xml:space="preserve">Escalation cadence at a glance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Level 1 — polite query letter. Owner: tax executive drafts; tax manager reviews. Aging trigger: T+0 from discovery.</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Level 2 — Form 131 request. Owner: tax executive drafts; tax manager signs. Aging trigger: T+30 from Level 1 with no substantive response.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Level 3 — correction statement request. Owner: tax manager drafts and signs; controller reviews. Aging trigger: October or November of the financial year against 31 March deadline, or T+60 from Level 1 for FY 2018-19 through FY 2022-23 residuals.</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Level 4 — commercial recovery demand. Owner: tax manager drafts; controller signs. Aging trigger: T+90 from Level 1, or T+30 from Level 3 with no correction filed.</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Level 5 — statutory auditor escalation. Owner: controller signs; CFO consulted on send decision. Aging trigger: T+150 from Level 1, only where the deductor is subject to CARO 2020.</w:t>
      </w:r>
    </w:p>
    <w:p>
      <w:pPr>
        <w:pStyle w:val="Heading2"/>
        <w:spacing w:after="80" w:before="200"/>
        <w:jc w:val="left"/>
      </w:pPr>
      <w:r>
        <w:rPr>
          <w:rFonts w:ascii="Calibri" w:cs="Calibri" w:eastAsia="Calibri" w:hAnsi="Calibri"/>
          <w:b/>
          <w:bCs/>
          <w:i w:val="false"/>
          <w:iCs w:val="false"/>
          <w:color w:val="0F2B46"/>
          <w:sz w:val="24"/>
          <w:szCs w:val="24"/>
        </w:rPr>
        <w:t xml:space="preserve">Before you send any letter</w:t>
      </w:r>
    </w:p>
    <w:p>
      <w:pPr>
        <w:spacing w:after="40" w:before="40" w:line="280"/>
        <w:ind w:left="504" w:hanging="360"/>
      </w:pPr>
      <w:r>
        <w:rPr>
          <w:rFonts w:ascii="Calibri" w:cs="Calibri" w:eastAsia="Calibri" w:hAnsi="Calibri"/>
          <w:b/>
          <w:bCs/>
          <w:i w:val="false"/>
          <w:iCs w:val="false"/>
          <w:color w:val="111827"/>
          <w:sz w:val="22"/>
          <w:szCs w:val="22"/>
        </w:rPr>
        <w:t xml:space="preserve">1.  </w:t>
      </w:r>
      <w:r>
        <w:rPr>
          <w:rFonts w:ascii="Calibri" w:cs="Calibri" w:eastAsia="Calibri" w:hAnsi="Calibri"/>
          <w:b w:val="false"/>
          <w:bCs w:val="false"/>
          <w:i w:val="false"/>
          <w:iCs w:val="false"/>
          <w:color w:val="111827"/>
          <w:sz w:val="22"/>
          <w:szCs w:val="22"/>
        </w:rPr>
        <w:t xml:space="preserve">Replace every placeholder in square brackets — deductor name, TAN, PAN, invoice reference, quarter, amounts, dates, response deadline.</w:t>
      </w:r>
    </w:p>
    <w:p>
      <w:pPr>
        <w:spacing w:after="40" w:before="40" w:line="280"/>
        <w:ind w:left="504" w:hanging="360"/>
      </w:pPr>
      <w:r>
        <w:rPr>
          <w:rFonts w:ascii="Calibri" w:cs="Calibri" w:eastAsia="Calibri" w:hAnsi="Calibri"/>
          <w:b/>
          <w:bCs/>
          <w:i w:val="false"/>
          <w:iCs w:val="false"/>
          <w:color w:val="111827"/>
          <w:sz w:val="22"/>
          <w:szCs w:val="22"/>
        </w:rPr>
        <w:t xml:space="preserve">2.  </w:t>
      </w:r>
      <w:r>
        <w:rPr>
          <w:rFonts w:ascii="Calibri" w:cs="Calibri" w:eastAsia="Calibri" w:hAnsi="Calibri"/>
          <w:b w:val="false"/>
          <w:bCs w:val="false"/>
          <w:i w:val="false"/>
          <w:iCs w:val="false"/>
          <w:color w:val="111827"/>
          <w:sz w:val="22"/>
          <w:szCs w:val="22"/>
        </w:rPr>
        <w:t xml:space="preserve">Refresh the illustrative Rs 84,200 shortfall on a Rs 8,42,000 invoice to your actual working-paper figures.</w:t>
      </w:r>
    </w:p>
    <w:p>
      <w:pPr>
        <w:spacing w:after="40" w:before="40" w:line="280"/>
        <w:ind w:left="504" w:hanging="360"/>
      </w:pPr>
      <w:r>
        <w:rPr>
          <w:rFonts w:ascii="Calibri" w:cs="Calibri" w:eastAsia="Calibri" w:hAnsi="Calibri"/>
          <w:b/>
          <w:bCs/>
          <w:i w:val="false"/>
          <w:iCs w:val="false"/>
          <w:color w:val="111827"/>
          <w:sz w:val="22"/>
          <w:szCs w:val="22"/>
        </w:rPr>
        <w:t xml:space="preserve">3.  </w:t>
      </w:r>
      <w:r>
        <w:rPr>
          <w:rFonts w:ascii="Calibri" w:cs="Calibri" w:eastAsia="Calibri" w:hAnsi="Calibri"/>
          <w:b w:val="false"/>
          <w:bCs w:val="false"/>
          <w:i w:val="false"/>
          <w:iCs w:val="false"/>
          <w:color w:val="111827"/>
          <w:sz w:val="22"/>
          <w:szCs w:val="22"/>
        </w:rPr>
        <w:t xml:space="preserve">Refresh the Section 201(1A) interest to the current computation date (Level 4 and Level 5 only).</w:t>
      </w:r>
    </w:p>
    <w:p>
      <w:pPr>
        <w:spacing w:after="40" w:before="40" w:line="280"/>
        <w:ind w:left="504" w:hanging="360"/>
      </w:pPr>
      <w:r>
        <w:rPr>
          <w:rFonts w:ascii="Calibri" w:cs="Calibri" w:eastAsia="Calibri" w:hAnsi="Calibri"/>
          <w:b/>
          <w:bCs/>
          <w:i w:val="false"/>
          <w:iCs w:val="false"/>
          <w:color w:val="111827"/>
          <w:sz w:val="22"/>
          <w:szCs w:val="22"/>
        </w:rPr>
        <w:t xml:space="preserve">4.  </w:t>
      </w:r>
      <w:r>
        <w:rPr>
          <w:rFonts w:ascii="Calibri" w:cs="Calibri" w:eastAsia="Calibri" w:hAnsi="Calibri"/>
          <w:b w:val="false"/>
          <w:bCs w:val="false"/>
          <w:i w:val="false"/>
          <w:iCs w:val="false"/>
          <w:color w:val="111827"/>
          <w:sz w:val="22"/>
          <w:szCs w:val="22"/>
        </w:rPr>
        <w:t xml:space="preserve">Confirm the Section 197 certificate register does not carry a valid low-deduction certificate for this deductee.</w:t>
      </w:r>
    </w:p>
    <w:p>
      <w:pPr>
        <w:spacing w:after="40" w:before="40" w:line="280"/>
        <w:ind w:left="504" w:hanging="360"/>
      </w:pPr>
      <w:r>
        <w:rPr>
          <w:rFonts w:ascii="Calibri" w:cs="Calibri" w:eastAsia="Calibri" w:hAnsi="Calibri"/>
          <w:b/>
          <w:bCs/>
          <w:i w:val="false"/>
          <w:iCs w:val="false"/>
          <w:color w:val="111827"/>
          <w:sz w:val="22"/>
          <w:szCs w:val="22"/>
        </w:rPr>
        <w:t xml:space="preserve">5.  </w:t>
      </w:r>
      <w:r>
        <w:rPr>
          <w:rFonts w:ascii="Calibri" w:cs="Calibri" w:eastAsia="Calibri" w:hAnsi="Calibri"/>
          <w:b w:val="false"/>
          <w:bCs w:val="false"/>
          <w:i w:val="false"/>
          <w:iCs w:val="false"/>
          <w:color w:val="111827"/>
          <w:sz w:val="22"/>
          <w:szCs w:val="22"/>
        </w:rPr>
        <w:t xml:space="preserve">Confirm the Section 206AA PAN validation status on the deductor’s records to rule out a legitimate higher-rate deduction.</w:t>
      </w:r>
    </w:p>
    <w:p>
      <w:pPr>
        <w:spacing w:after="40" w:before="40" w:line="280"/>
        <w:ind w:left="504" w:hanging="360"/>
      </w:pPr>
      <w:r>
        <w:rPr>
          <w:rFonts w:ascii="Calibri" w:cs="Calibri" w:eastAsia="Calibri" w:hAnsi="Calibri"/>
          <w:b/>
          <w:bCs/>
          <w:i w:val="false"/>
          <w:iCs w:val="false"/>
          <w:color w:val="111827"/>
          <w:sz w:val="22"/>
          <w:szCs w:val="22"/>
        </w:rPr>
        <w:t xml:space="preserve">6.  </w:t>
      </w:r>
      <w:r>
        <w:rPr>
          <w:rFonts w:ascii="Calibri" w:cs="Calibri" w:eastAsia="Calibri" w:hAnsi="Calibri"/>
          <w:b w:val="false"/>
          <w:bCs w:val="false"/>
          <w:i w:val="false"/>
          <w:iCs w:val="false"/>
          <w:color w:val="111827"/>
          <w:sz w:val="22"/>
          <w:szCs w:val="22"/>
        </w:rPr>
        <w:t xml:space="preserve">Confirm the deductor is subject to CARO 2020 before escalating to Level 5. Companies Act 2013 excluded categories do not receive Level 5 — the ladder stops at Level 4.</w:t>
      </w:r>
    </w:p>
    <w:p>
      <w:pPr>
        <w:spacing w:after="40" w:before="40" w:line="280"/>
        <w:ind w:left="504" w:hanging="360"/>
      </w:pPr>
      <w:r>
        <w:rPr>
          <w:rFonts w:ascii="Calibri" w:cs="Calibri" w:eastAsia="Calibri" w:hAnsi="Calibri"/>
          <w:b/>
          <w:bCs/>
          <w:i w:val="false"/>
          <w:iCs w:val="false"/>
          <w:color w:val="111827"/>
          <w:sz w:val="22"/>
          <w:szCs w:val="22"/>
        </w:rPr>
        <w:t xml:space="preserve">7.  </w:t>
      </w:r>
      <w:r>
        <w:rPr>
          <w:rFonts w:ascii="Calibri" w:cs="Calibri" w:eastAsia="Calibri" w:hAnsi="Calibri"/>
          <w:b w:val="false"/>
          <w:bCs w:val="false"/>
          <w:i w:val="false"/>
          <w:iCs w:val="false"/>
          <w:color w:val="111827"/>
          <w:sz w:val="22"/>
          <w:szCs w:val="22"/>
        </w:rPr>
        <w:t xml:space="preserve">Preserve the delivery proof — email receipt, courier POD, or portal acknowledgement — with the reconciliation working paper.</w:t>
      </w:r>
    </w:p>
    <w:p>
      <w:pPr>
        <w:pStyle w:val="Heading2"/>
        <w:spacing w:after="80" w:before="200"/>
        <w:jc w:val="left"/>
      </w:pPr>
      <w:r>
        <w:rPr>
          <w:rFonts w:ascii="Calibri" w:cs="Calibri" w:eastAsia="Calibri" w:hAnsi="Calibri"/>
          <w:b/>
          <w:bCs/>
          <w:i w:val="false"/>
          <w:iCs w:val="false"/>
          <w:color w:val="0F2B46"/>
          <w:sz w:val="24"/>
          <w:szCs w:val="24"/>
        </w:rPr>
        <w:t xml:space="preserve">Where this fits</w:t>
      </w:r>
    </w:p>
    <w:p>
      <w:pPr>
        <w:spacing w:after="200" w:before="60" w:line="300"/>
        <w:jc w:val="left"/>
      </w:pPr>
      <w:r>
        <w:rPr>
          <w:rFonts w:ascii="Calibri" w:cs="Calibri" w:eastAsia="Calibri" w:hAnsi="Calibri"/>
          <w:b/>
          <w:bCs/>
          <w:i w:val="false"/>
          <w:iCs w:val="false"/>
          <w:color w:val="111827"/>
          <w:sz w:val="22"/>
          <w:szCs w:val="22"/>
        </w:rPr>
        <w:t xml:space="preserve">Playbook Brief 13 — Deductor Query Letter Templates</w:t>
      </w:r>
      <w:r>
        <w:rPr>
          <w:rFonts w:ascii="Calibri" w:cs="Calibri" w:eastAsia="Calibri" w:hAnsi="Calibri"/>
          <w:b w:val="false"/>
          <w:bCs w:val="false"/>
          <w:i w:val="false"/>
          <w:iCs w:val="false"/>
          <w:color w:val="111827"/>
          <w:sz w:val="22"/>
          <w:szCs w:val="22"/>
        </w:rPr>
        <w:t xml:space="preserve"> is the parent article for this pack, available on the Terra Insight insights hub at /insights/deductor-form-168-query-letter-templates-india/. Related briefs — TDS runbook, TDS receivable aging workbook, Form 168 shortfall investigation, and the reconciliation playbook pillar — are cross-referenced in the README bundled with this pack.</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40" w:before="60" w:line="300"/>
        <w:jc w:val="left"/>
      </w:pPr>
      <w:r>
        <w:rPr>
          <w:rFonts w:ascii="Calibri" w:cs="Calibri" w:eastAsia="Calibri" w:hAnsi="Calibri"/>
          <w:b w:val="false"/>
          <w:bCs w:val="false"/>
          <w:i w:val="false"/>
          <w:iCs w:val="false"/>
          <w:color w:val="718096"/>
          <w:sz w:val="18"/>
          <w:szCs w:val="18"/>
        </w:rPr>
        <w:t xml:space="preserve">Prepared by  </w:t>
      </w:r>
      <w:r>
        <w:rPr>
          <w:rFonts w:ascii="Calibri" w:cs="Calibri" w:eastAsia="Calibri" w:hAnsi="Calibri"/>
          <w:b/>
          <w:bCs/>
          <w:i w:val="false"/>
          <w:iCs w:val="false"/>
          <w:color w:val="0F2B46"/>
          <w:sz w:val="18"/>
          <w:szCs w:val="18"/>
        </w:rPr>
        <w:t xml:space="preserve">Terra Insight Editorial Team</w:t>
      </w:r>
      <w:r>
        <w:rPr>
          <w:rFonts w:ascii="Calibri" w:cs="Calibri" w:eastAsia="Calibri" w:hAnsi="Calibri"/>
          <w:b w:val="false"/>
          <w:bCs w:val="false"/>
          <w:i w:val="false"/>
          <w:iCs w:val="false"/>
          <w:color w:val="718096"/>
          <w:sz w:val="18"/>
          <w:szCs w:val="18"/>
        </w:rPr>
        <w:t xml:space="preserve">.  Version 1.0  ·  2026-08-06.</w:t>
      </w:r>
    </w:p>
    <w:p>
      <w:pPr>
        <w:spacing w:after="120" w:before="60" w:line="300"/>
        <w:jc w:val="left"/>
      </w:pPr>
      <w:r>
        <w:rPr>
          <w:rFonts w:ascii="Calibri" w:cs="Calibri" w:eastAsia="Calibri" w:hAnsi="Calibri"/>
          <w:b/>
          <w:bCs/>
          <w:i w:val="false"/>
          <w:iCs w:val="false"/>
          <w:color w:val="718096"/>
          <w:sz w:val="18"/>
          <w:szCs w:val="18"/>
        </w:rPr>
        <w:t xml:space="preserve">IP notice.  </w:t>
      </w:r>
      <w:r>
        <w:rPr>
          <w:rFonts w:ascii="Calibri" w:cs="Calibri" w:eastAsia="Calibri" w:hAnsi="Calibri"/>
          <w:b w:val="false"/>
          <w:bCs w:val="false"/>
          <w:i/>
          <w:iCs/>
          <w:color w:val="718096"/>
          <w:sz w:val="18"/>
          <w:szCs w:val="18"/>
        </w:rPr>
        <w:t xml:space="preserve">This pack contains no customer names and no Terra Insight product pricing. Rupee amounts shown are illustrative examples for template use only. Every letter is designed to be customised against the sender’s own working-paper values before issue.</w:t>
      </w:r>
    </w:p>
    <w:sectPr>
      <w:headerReference w:type="default" r:id="rId7"/>
      <w:footerReference w:type="default" r:id="rId8"/>
      <w:pgSz w:w="12240" w:h="15840" w:orient="portrait"/>
      <w:pgMar w:top="100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4"/>
      </w:pBdr>
      <w:spacing w:after="0" w:before="40"/>
      <w:jc w:val="left"/>
    </w:pPr>
    <w:r>
      <w:rPr>
        <w:rFonts w:ascii="Calibri" w:cs="Calibri" w:eastAsia="Calibri" w:hAnsi="Calibri"/>
        <w:b w:val="false"/>
        <w:bCs w:val="false"/>
        <w:i/>
        <w:iCs/>
        <w:color w:val="718096"/>
        <w:sz w:val="16"/>
        <w:szCs w:val="16"/>
      </w:rPr>
      <w:t xml:space="preserve">Illustrative template — customise before sending. </w:t>
    </w:r>
    <w:r>
      <w:rPr>
        <w:rFonts w:ascii="Calibri" w:cs="Calibri" w:eastAsia="Calibri" w:hAnsi="Calibri"/>
        <w:b w:val="false"/>
        <w:bCs w:val="false"/>
        <w:i w:val="false"/>
        <w:iCs w:val="false"/>
        <w:color w:val="718096"/>
        <w:sz w:val="16"/>
        <w:szCs w:val="16"/>
      </w:rPr>
      <w:t xml:space="preserve">Terra Insight Editorial Team.  Version 1.0, 2026-08-06.  Page </w:t>
    </w:r>
    <w:r>
      <w:rPr>
        <w:rFonts w:ascii="Calibri" w:cs="Calibri" w:eastAsia="Calibri" w:hAnsi="Calibri"/>
        <w:color w:val="718096"/>
        <w:sz w:val="16"/>
        <w:szCs w:val="16"/>
      </w:rPr>
      <w:fldChar w:fldCharType="begin"/>
      <w:instrText xml:space="preserve">PAGE</w:instrText>
      <w:fldChar w:fldCharType="separate"/>
      <w:fldChar w:fldCharType="end"/>
    </w:r>
    <w:r>
      <w:rPr>
        <w:rFonts w:ascii="Calibri" w:cs="Calibri" w:eastAsia="Calibri" w:hAnsi="Calibri"/>
        <w:b w:val="false"/>
        <w:bCs w:val="false"/>
        <w:i w:val="false"/>
        <w:iCs w:val="false"/>
        <w:color w:val="718096"/>
        <w:sz w:val="16"/>
        <w:szCs w:val="16"/>
      </w:rPr>
      <w:t xml:space="preserve"> of </w:t>
    </w:r>
    <w:r>
      <w:rPr>
        <w:rFonts w:ascii="Calibri" w:cs="Calibri" w:eastAsia="Calibri" w:hAnsi="Calibri"/>
        <w:color w:val="71809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2B46" w:sz="12" w:space="4"/>
      </w:pBdr>
      <w:spacing w:after="40" w:before="0"/>
      <w:jc w:val="left"/>
    </w:pPr>
    <w:r>
      <w:rPr>
        <w:rFonts w:ascii="Calibri" w:cs="Calibri" w:eastAsia="Calibri" w:hAnsi="Calibri"/>
        <w:b/>
        <w:bCs/>
        <w:i w:val="false"/>
        <w:iCs w:val="false"/>
        <w:color w:val="0F2B46"/>
        <w:sz w:val="24"/>
        <w:szCs w:val="24"/>
      </w:rPr>
      <w:t xml:space="preserve">Terra Insight</w:t>
    </w:r>
    <w:r>
      <w:rPr>
        <w:rFonts w:ascii="Calibri" w:cs="Calibri" w:eastAsia="Calibri" w:hAnsi="Calibri"/>
        <w:b w:val="false"/>
        <w:bCs w:val="false"/>
        <w:i w:val="false"/>
        <w:iCs w:val="false"/>
        <w:color w:val="718096"/>
        <w:sz w:val="18"/>
        <w:szCs w:val="18"/>
      </w:rPr>
      <w:t xml:space="preserve">   |   </w:t>
    </w:r>
    <w:r>
      <w:rPr>
        <w:rFonts w:ascii="Calibri" w:cs="Calibri" w:eastAsia="Calibri" w:hAnsi="Calibri"/>
        <w:b w:val="false"/>
        <w:bCs w:val="false"/>
        <w:i w:val="false"/>
        <w:iCs w:val="false"/>
        <w:color w:val="4A5568"/>
        <w:sz w:val="18"/>
        <w:szCs w:val="18"/>
      </w:rPr>
      <w:t xml:space="preserve">Cover Sheet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11827"/>
        <w:sz w:val="22"/>
        <w:szCs w:val="22"/>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0F2B46"/>
      <w:sz w:val="32"/>
      <w:szCs w:val="32"/>
    </w:rPr>
  </w:style>
  <w:style w:type="paragraph" w:styleId="Heading2">
    <w:name w:val="Heading 2"/>
    <w:basedOn w:val="Normal"/>
    <w:next w:val="Normal"/>
    <w:qFormat/>
    <w:rPr>
      <w:rFonts w:ascii="Calibri" w:cs="Calibri" w:eastAsia="Calibri" w:hAnsi="Calibri"/>
      <w:b/>
      <w:bCs/>
      <w:color w:val="0F2B46"/>
      <w:sz w:val="24"/>
      <w:szCs w:val="24"/>
    </w:rPr>
  </w:style>
  <w:style w:type="paragraph" w:styleId="Heading3">
    <w:name w:val="Heading 3"/>
    <w:basedOn w:val="Normal"/>
    <w:next w:val="Normal"/>
    <w:qFormat/>
    <w:rPr>
      <w:rFonts w:ascii="Calibri" w:cs="Calibri" w:eastAsia="Calibri" w:hAnsi="Calibri"/>
      <w:b/>
      <w:bCs/>
      <w:color w:val="4A5568"/>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Deductor Form 168 Query Letter Pack</dc:title>
  <dc:creator>Terra Insight</dc:creator>
  <dc:description>Deductor Form 168 Query Letter Pack — Cover Sheet</dc:description>
  <cp:lastModifiedBy>Un-named</cp:lastModifiedBy>
  <cp:revision>1</cp:revision>
  <dcterms:created xsi:type="dcterms:W3CDTF">2026-08-16T05:21:00.701Z</dcterms:created>
  <dcterms:modified xsi:type="dcterms:W3CDTF">2026-08-16T05:21:00.702Z</dcterms:modified>
</cp:coreProperties>
</file>

<file path=docProps/custom.xml><?xml version="1.0" encoding="utf-8"?>
<Properties xmlns="http://schemas.openxmlformats.org/officeDocument/2006/custom-properties" xmlns:vt="http://schemas.openxmlformats.org/officeDocument/2006/docPropsVTypes"/>
</file>