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jc w:val="left"/>
      </w:pPr>
      <w:r>
        <w:rPr>
          <w:rFonts w:ascii="Calibri" w:cs="Calibri" w:eastAsia="Calibri" w:hAnsi="Calibri"/>
          <w:b/>
          <w:bCs/>
          <w:color w:val="0B2545"/>
          <w:sz w:val="22"/>
          <w:szCs w:val="22"/>
        </w:rPr>
        <w:t xml:space="preserve">Amazon Seller Central</w:t>
      </w:r>
    </w:p>
    <w:p>
      <w:pPr>
        <w:spacing w:after="160"/>
      </w:pPr>
      <w:r>
        <w:rPr>
          <w:rFonts w:ascii="Calibri" w:cs="Calibri" w:eastAsia="Calibri" w:hAnsi="Calibri"/>
          <w:b/>
          <w:bCs/>
          <w:color w:val="0B2545"/>
          <w:sz w:val="36"/>
          <w:szCs w:val="36"/>
        </w:rPr>
        <w:t xml:space="preserve">Amazon Seller Central Settlement Dispute Letter (Highest Urgency)</w:t>
      </w:r>
    </w:p>
    <w:p>
      <w:pPr>
        <w:pBdr>
          <w:bottom w:val="single" w:color="CBD5E0" w:sz="6" w:space="1"/>
        </w:pBdr>
        <w:spacing w:after="200"/>
      </w:pPr>
      <w:r>
        <w:rPr>
          <w:rFonts w:ascii="Calibri" w:cs="Calibri" w:eastAsia="Calibri" w:hAnsi="Calibri"/>
          <w:sz w:val="2"/>
          <w:szCs w:val="2"/>
        </w:rPr>
        <w:t xml:space="preserve"/>
      </w:r>
    </w:p>
    <w:tbl>
      <w:tblPr>
        <w:tblW w:type="dxa" w:w="9600"/>
        <w:tblBorders>
          <w:top w:val="single" w:color="auto" w:sz="4"/>
          <w:left w:val="single" w:color="auto" w:sz="4"/>
          <w:bottom w:val="single" w:color="auto" w:sz="4"/>
          <w:right w:val="single" w:color="auto" w:sz="4"/>
          <w:insideH w:val="single" w:color="auto" w:sz="4"/>
          <w:insideV w:val="single" w:color="auto" w:sz="4"/>
        </w:tblBorders>
      </w:tblPr>
      <w:tblGrid>
        <w:gridCol w:w="3200"/>
        <w:gridCol w:w="6400"/>
      </w:tblGrid>
      <w:tr>
        <w:trPr>
          <w:tblHeader w:val="false"/>
        </w:trPr>
        <w:tc>
          <w:tcPr>
            <w:tcW w:type="dxa" w:w="3200"/>
            <w:tcMar>
              <w:top w:type="dxa" w:w="100"/>
              <w:left w:type="dxa" w:w="120"/>
              <w:bottom w:type="dxa" w:w="100"/>
              <w:right w:type="dxa" w:w="120"/>
            </w:tcMar>
          </w:tcPr>
          <w:p>
            <w:r>
              <w:rPr>
                <w:rFonts w:ascii="Calibri" w:cs="Calibri" w:eastAsia="Calibri" w:hAnsi="Calibri"/>
                <w:b w:val="false"/>
                <w:bCs w:val="false"/>
                <w:color w:val="111827"/>
                <w:sz w:val="22"/>
                <w:szCs w:val="22"/>
              </w:rPr>
              <w:t xml:space="preserve">Platform</w:t>
            </w:r>
          </w:p>
        </w:tc>
        <w:tc>
          <w:tcPr>
            <w:tcW w:type="dxa" w:w="6400"/>
            <w:tcMar>
              <w:top w:type="dxa" w:w="100"/>
              <w:left w:type="dxa" w:w="120"/>
              <w:bottom w:type="dxa" w:w="100"/>
              <w:right w:type="dxa" w:w="120"/>
            </w:tcMar>
          </w:tcPr>
          <w:p>
            <w:r>
              <w:rPr>
                <w:rFonts w:ascii="Calibri" w:cs="Calibri" w:eastAsia="Calibri" w:hAnsi="Calibri"/>
                <w:b w:val="false"/>
                <w:bCs w:val="false"/>
                <w:color w:val="111827"/>
                <w:sz w:val="22"/>
                <w:szCs w:val="22"/>
              </w:rPr>
              <w:t xml:space="preserve">Amazon Seller Central — Seller Disbursements</w:t>
            </w:r>
          </w:p>
        </w:tc>
      </w:tr>
      <w:tr>
        <w:trPr>
          <w:tblHeader w:val="false"/>
        </w:trPr>
        <w:tc>
          <w:tcPr>
            <w:tcW w:type="dxa" w:w="3200"/>
            <w:tcMar>
              <w:top w:type="dxa" w:w="100"/>
              <w:left w:type="dxa" w:w="120"/>
              <w:bottom w:type="dxa" w:w="100"/>
              <w:right w:type="dxa" w:w="120"/>
            </w:tcMar>
          </w:tcPr>
          <w:p>
            <w:r>
              <w:rPr>
                <w:rFonts w:ascii="Calibri" w:cs="Calibri" w:eastAsia="Calibri" w:hAnsi="Calibri"/>
                <w:b w:val="false"/>
                <w:bCs w:val="false"/>
                <w:color w:val="111827"/>
                <w:sz w:val="22"/>
                <w:szCs w:val="22"/>
              </w:rPr>
              <w:t xml:space="preserve">Dispute window</w:t>
            </w:r>
          </w:p>
        </w:tc>
        <w:tc>
          <w:tcPr>
            <w:tcW w:type="dxa" w:w="6400"/>
            <w:tcMar>
              <w:top w:type="dxa" w:w="100"/>
              <w:left w:type="dxa" w:w="120"/>
              <w:bottom w:type="dxa" w:w="100"/>
              <w:right w:type="dxa" w:w="120"/>
            </w:tcMar>
          </w:tcPr>
          <w:p>
            <w:r>
              <w:rPr>
                <w:rFonts w:ascii="Calibri" w:cs="Calibri" w:eastAsia="Calibri" w:hAnsi="Calibri"/>
                <w:b w:val="false"/>
                <w:bCs w:val="false"/>
                <w:color w:val="111827"/>
                <w:sz w:val="22"/>
                <w:szCs w:val="22"/>
              </w:rPr>
              <w:t xml:space="preserve">7 days from settlement date (SHORTEST — highest urgency)</w:t>
            </w:r>
          </w:p>
        </w:tc>
      </w:tr>
      <w:tr>
        <w:trPr>
          <w:tblHeader w:val="false"/>
        </w:trPr>
        <w:tc>
          <w:tcPr>
            <w:tcW w:type="dxa" w:w="3200"/>
            <w:tcMar>
              <w:top w:type="dxa" w:w="100"/>
              <w:left w:type="dxa" w:w="120"/>
              <w:bottom w:type="dxa" w:w="100"/>
              <w:right w:type="dxa" w:w="120"/>
            </w:tcMar>
          </w:tcPr>
          <w:p>
            <w:r>
              <w:rPr>
                <w:rFonts w:ascii="Calibri" w:cs="Calibri" w:eastAsia="Calibri" w:hAnsi="Calibri"/>
                <w:b w:val="false"/>
                <w:bCs w:val="false"/>
                <w:color w:val="111827"/>
                <w:sz w:val="22"/>
                <w:szCs w:val="22"/>
              </w:rPr>
              <w:t xml:space="preserve">Dispatch discipline</w:t>
            </w:r>
          </w:p>
        </w:tc>
        <w:tc>
          <w:tcPr>
            <w:tcW w:type="dxa" w:w="6400"/>
            <w:tcMar>
              <w:top w:type="dxa" w:w="100"/>
              <w:left w:type="dxa" w:w="120"/>
              <w:bottom w:type="dxa" w:w="100"/>
              <w:right w:type="dxa" w:w="120"/>
            </w:tcMar>
          </w:tcPr>
          <w:p>
            <w:r>
              <w:rPr>
                <w:rFonts w:ascii="Calibri" w:cs="Calibri" w:eastAsia="Calibri" w:hAnsi="Calibri"/>
                <w:b w:val="false"/>
                <w:bCs w:val="false"/>
                <w:color w:val="111827"/>
                <w:sz w:val="22"/>
                <w:szCs w:val="22"/>
              </w:rPr>
              <w:t xml:space="preserve">Dispatch Level 1 by Day 3; escalate to Level 2 by Day 5; Level 3 by Day 6; Level 4 same-day if cumulative dispute value &gt; Rs 2 lakh.</w:t>
            </w:r>
          </w:p>
        </w:tc>
      </w:tr>
      <w:tr>
        <w:trPr>
          <w:tblHeader w:val="false"/>
        </w:trPr>
        <w:tc>
          <w:tcPr>
            <w:tcW w:type="dxa" w:w="3200"/>
            <w:tcMar>
              <w:top w:type="dxa" w:w="100"/>
              <w:left w:type="dxa" w:w="120"/>
              <w:bottom w:type="dxa" w:w="100"/>
              <w:right w:type="dxa" w:w="120"/>
            </w:tcMar>
          </w:tcPr>
          <w:p>
            <w:r>
              <w:rPr>
                <w:rFonts w:ascii="Calibri" w:cs="Calibri" w:eastAsia="Calibri" w:hAnsi="Calibri"/>
                <w:b w:val="false"/>
                <w:bCs w:val="false"/>
                <w:color w:val="111827"/>
                <w:sz w:val="22"/>
                <w:szCs w:val="22"/>
              </w:rPr>
              <w:t xml:space="preserve">Portal path</w:t>
            </w:r>
          </w:p>
        </w:tc>
        <w:tc>
          <w:tcPr>
            <w:tcW w:type="dxa" w:w="6400"/>
            <w:tcMar>
              <w:top w:type="dxa" w:w="100"/>
              <w:left w:type="dxa" w:w="120"/>
              <w:bottom w:type="dxa" w:w="100"/>
              <w:right w:type="dxa" w:w="120"/>
            </w:tcMar>
          </w:tcPr>
          <w:p>
            <w:r>
              <w:rPr>
                <w:rFonts w:ascii="Calibri" w:cs="Calibri" w:eastAsia="Calibri" w:hAnsi="Calibri"/>
                <w:b w:val="false"/>
                <w:bCs w:val="false"/>
                <w:color w:val="111827"/>
                <w:sz w:val="22"/>
                <w:szCs w:val="22"/>
              </w:rPr>
              <w:t xml:space="preserve">Seller Central → Contact Us → Seller Support Case Log → Amazon SPN grievance officer (Rule 5)</w:t>
            </w:r>
          </w:p>
        </w:tc>
      </w:tr>
      <w:tr>
        <w:trPr>
          <w:tblHeader w:val="false"/>
        </w:trPr>
        <w:tc>
          <w:tcPr>
            <w:tcW w:type="dxa" w:w="3200"/>
            <w:tcMar>
              <w:top w:type="dxa" w:w="100"/>
              <w:left w:type="dxa" w:w="120"/>
              <w:bottom w:type="dxa" w:w="100"/>
              <w:right w:type="dxa" w:w="120"/>
            </w:tcMar>
          </w:tcPr>
          <w:p>
            <w:r>
              <w:rPr>
                <w:rFonts w:ascii="Calibri" w:cs="Calibri" w:eastAsia="Calibri" w:hAnsi="Calibri"/>
                <w:b w:val="false"/>
                <w:bCs w:val="false"/>
                <w:color w:val="111827"/>
                <w:sz w:val="22"/>
                <w:szCs w:val="22"/>
              </w:rPr>
              <w:t xml:space="preserve">Statutory anchors</w:t>
            </w:r>
          </w:p>
        </w:tc>
        <w:tc>
          <w:tcPr>
            <w:tcW w:type="dxa" w:w="6400"/>
            <w:tcMar>
              <w:top w:type="dxa" w:w="100"/>
              <w:left w:type="dxa" w:w="120"/>
              <w:bottom w:type="dxa" w:w="100"/>
              <w:right w:type="dxa" w:w="120"/>
            </w:tcMar>
          </w:tcPr>
          <w:p>
            <w:r>
              <w:rPr>
                <w:rFonts w:ascii="Calibri" w:cs="Calibri" w:eastAsia="Calibri" w:hAnsi="Calibri"/>
                <w:b w:val="false"/>
                <w:bCs w:val="false"/>
                <w:color w:val="111827"/>
                <w:sz w:val="22"/>
                <w:szCs w:val="22"/>
              </w:rPr>
              <w:t xml:space="preserve">Section 194O, Income-tax Act 1961; Section 52, CGST Act 2017; Rule 46, CGST Rules 2017; Rule 5, Consumer Protection (E-Commerce) Rules 2020 (published Amazon SPN grievance officer); Amazon Services Business Solutions Agreement (fee schedules for FBA and long-term storage)</w:t>
            </w:r>
          </w:p>
        </w:tc>
      </w:tr>
      <w:tr>
        <w:trPr>
          <w:tblHeader w:val="false"/>
        </w:trPr>
        <w:tc>
          <w:tcPr>
            <w:tcW w:type="dxa" w:w="3200"/>
            <w:tcMar>
              <w:top w:type="dxa" w:w="100"/>
              <w:left w:type="dxa" w:w="120"/>
              <w:bottom w:type="dxa" w:w="100"/>
              <w:right w:type="dxa" w:w="120"/>
            </w:tcMar>
          </w:tcPr>
          <w:p>
            <w:r>
              <w:rPr>
                <w:rFonts w:ascii="Calibri" w:cs="Calibri" w:eastAsia="Calibri" w:hAnsi="Calibri"/>
                <w:b w:val="false"/>
                <w:bCs w:val="false"/>
                <w:color w:val="111827"/>
                <w:sz w:val="22"/>
                <w:szCs w:val="22"/>
              </w:rPr>
              <w:t xml:space="preserve">Escalation ladder</w:t>
            </w:r>
          </w:p>
        </w:tc>
        <w:tc>
          <w:tcPr>
            <w:tcW w:type="dxa" w:w="6400"/>
            <w:tcMar>
              <w:top w:type="dxa" w:w="100"/>
              <w:left w:type="dxa" w:w="120"/>
              <w:bottom w:type="dxa" w:w="100"/>
              <w:right w:type="dxa" w:w="120"/>
            </w:tcMar>
          </w:tcPr>
          <w:p>
            <w:r>
              <w:rPr>
                <w:rFonts w:ascii="Calibri" w:cs="Calibri" w:eastAsia="Calibri" w:hAnsi="Calibri"/>
                <w:b w:val="false"/>
                <w:bCs w:val="false"/>
                <w:color w:val="111827"/>
                <w:sz w:val="22"/>
                <w:szCs w:val="22"/>
              </w:rPr>
              <w:t xml:space="preserve">Level 1 POC → Level 2 SPOC → Level 3 Operations Manager (Rule 5) → Level 4 Key Account Director</w:t>
            </w:r>
          </w:p>
        </w:tc>
      </w:tr>
    </w:tbl>
    <w:p>
      <w:pPr>
        <w:spacing w:after="120"/>
        <w:jc w:val="left"/>
      </w:pPr>
      <w:r>
        <w:rPr>
          <w:rFonts w:ascii="Calibri" w:cs="Calibri" w:eastAsia="Calibri" w:hAnsi="Calibri"/>
          <w:sz w:val="22"/>
          <w:szCs w:val="22"/>
        </w:rPr>
        <w:t xml:space="preserve"/>
      </w:r>
    </w:p>
    <w:tbl>
      <w:tblPr>
        <w:tblW w:type="dxa" w:w="9600"/>
        <w:tblBorders>
          <w:top w:val="single" w:color="auto" w:sz="4"/>
          <w:left w:val="single" w:color="auto" w:sz="4"/>
          <w:bottom w:val="single" w:color="auto" w:sz="4"/>
          <w:right w:val="single" w:color="auto" w:sz="4"/>
          <w:insideH w:val="single" w:color="auto" w:sz="4"/>
          <w:insideV w:val="single" w:color="auto" w:sz="4"/>
        </w:tblBorders>
      </w:tblPr>
      <w:tblGrid>
        <w:gridCol w:w="9600"/>
      </w:tblGrid>
      <w:tr>
        <w:tc>
          <w:tcPr>
            <w:tcW w:type="dxa" w:w="9600"/>
            <w:tcBorders>
              <w:top w:val="single" w:color="F59E0B" w:sz="4"/>
              <w:left w:val="single" w:color="F59E0B" w:sz="4"/>
              <w:bottom w:val="single" w:color="F59E0B" w:sz="4"/>
              <w:right w:val="single" w:color="F59E0B" w:sz="4"/>
            </w:tcBorders>
            <w:shd w:fill="FFF4E5" w:color="auto" w:val="clear"/>
            <w:tcMar>
              <w:top w:type="dxa" w:w="160"/>
              <w:left w:type="dxa" w:w="180"/>
              <w:bottom w:type="dxa" w:w="160"/>
              <w:right w:type="dxa" w:w="180"/>
            </w:tcMar>
          </w:tcPr>
          <w:p>
            <w:pPr>
              <w:spacing w:after="40"/>
            </w:pPr>
            <w:r>
              <w:rPr>
                <w:rFonts w:ascii="Calibri" w:cs="Calibri" w:eastAsia="Calibri" w:hAnsi="Calibri"/>
                <w:b/>
                <w:bCs/>
                <w:color w:val="92400E"/>
                <w:sz w:val="22"/>
                <w:szCs w:val="22"/>
              </w:rPr>
              <w:t xml:space="preserve">Customise every letter before sending.</w:t>
            </w:r>
          </w:p>
          <w:p>
            <w:r>
              <w:rPr>
                <w:rFonts w:ascii="Calibri" w:cs="Calibri" w:eastAsia="Calibri" w:hAnsi="Calibri"/>
                <w:color w:val="92400E"/>
                <w:sz w:val="20"/>
                <w:szCs w:val="20"/>
              </w:rPr>
              <w:t xml:space="preserve">This is a template. Every [SQUARE BRACKET] is a placeholder and every rupee figure is illustrative. Replace all merchant identifiers, settlement references, ticket references, escalation references, and disputed amounts against your own Day 4 platform settlement decomposition workbook and the platform’s payout statement before dispatch.</w:t>
            </w:r>
          </w:p>
        </w:tc>
      </w:tr>
    </w:tbl>
    <w:p>
      <w:pPr>
        <w:spacing w:after="120"/>
        <w:jc w:val="left"/>
      </w:pPr>
      <w:r>
        <w:rPr>
          <w:rFonts w:ascii="Calibri" w:cs="Calibri" w:eastAsia="Calibri" w:hAnsi="Calibri"/>
          <w:sz w:val="22"/>
          <w:szCs w:val="22"/>
        </w:rPr>
        <w:t xml:space="preserve"/>
      </w:r>
    </w:p>
    <w:p>
      <w:pPr>
        <w:pStyle w:val="Heading2"/>
        <w:spacing w:after="100" w:before="240"/>
      </w:pPr>
      <w:r>
        <w:rPr>
          <w:rFonts w:ascii="Calibri" w:cs="Calibri" w:eastAsia="Calibri" w:hAnsi="Calibri"/>
          <w:b/>
          <w:bCs/>
          <w:color w:val="0B2545"/>
          <w:sz w:val="24"/>
          <w:szCs w:val="24"/>
        </w:rPr>
        <w:t xml:space="preserve">Common variance categories the letter addresses</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Commission variance by SKU category — commission line outside the contracted range for the SKU category (books, electronics, apparel, grocery — 8 to 25 per cent range) or applied at the wrong category rate.</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Fulfilment by Amazon (FBA) fee applied against inventory that cleared out prior to the fee cycle — pick, pack, or handling fees on units already dispatched or removed.</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Long-term storage fee on inventory that was removed within the exemption window — LTSF assessed on units withdrawn from FBA warehouses before the assessment date.</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Section 194O TDS on gross including MDR retention by the payment gateway — 1% TDS deducted on a base that includes payment-gateway MDR that the merchant did not receive.</w:t>
      </w:r>
    </w:p>
    <w:p>
      <w:pPr>
        <w:pStyle w:val="Heading2"/>
        <w:spacing w:after="100" w:before="240"/>
      </w:pPr>
      <w:r>
        <w:rPr>
          <w:rFonts w:ascii="Calibri" w:cs="Calibri" w:eastAsia="Calibri" w:hAnsi="Calibri"/>
          <w:b/>
          <w:bCs/>
          <w:color w:val="0B2545"/>
          <w:sz w:val="24"/>
          <w:szCs w:val="24"/>
        </w:rPr>
        <w:t xml:space="preserve">Merchant details (fill in once, reuse)</w:t>
      </w:r>
    </w:p>
    <w:p>
      <w:pPr>
        <w:spacing w:after="40"/>
      </w:pPr>
      <w:r>
        <w:rPr>
          <w:rFonts w:ascii="Calibri" w:cs="Calibri" w:eastAsia="Calibri" w:hAnsi="Calibri"/>
          <w:b/>
          <w:bCs/>
          <w:color w:val="0B2545"/>
          <w:sz w:val="22"/>
          <w:szCs w:val="22"/>
        </w:rPr>
        <w:t xml:space="preserve">From:</w:t>
      </w:r>
      <w:r>
        <w:rPr>
          <w:rFonts w:ascii="Calibri" w:cs="Calibri" w:eastAsia="Calibri" w:hAnsi="Calibri"/>
          <w:sz w:val="22"/>
          <w:szCs w:val="22"/>
        </w:rPr>
        <w:t xml:space="preserve">  [MERCHANT COMPANY NAME] — [MERCHANT LEGAL ENTITY]</w:t>
      </w:r>
    </w:p>
    <w:p>
      <w:pPr>
        <w:spacing w:after="40"/>
      </w:pPr>
      <w:r>
        <w:rPr>
          <w:rFonts w:ascii="Calibri" w:cs="Calibri" w:eastAsia="Calibri" w:hAnsi="Calibri"/>
          <w:b/>
          <w:bCs/>
          <w:color w:val="0B2545"/>
          <w:sz w:val="22"/>
          <w:szCs w:val="22"/>
        </w:rPr>
        <w:t xml:space="preserve">GSTIN:</w:t>
      </w:r>
      <w:r>
        <w:rPr>
          <w:rFonts w:ascii="Calibri" w:cs="Calibri" w:eastAsia="Calibri" w:hAnsi="Calibri"/>
          <w:sz w:val="22"/>
          <w:szCs w:val="22"/>
        </w:rPr>
        <w:t xml:space="preserve">  [MERCHANT GSTIN]</w:t>
      </w:r>
    </w:p>
    <w:p>
      <w:pPr>
        <w:spacing w:after="40"/>
      </w:pPr>
      <w:r>
        <w:rPr>
          <w:rFonts w:ascii="Calibri" w:cs="Calibri" w:eastAsia="Calibri" w:hAnsi="Calibri"/>
          <w:b/>
          <w:bCs/>
          <w:color w:val="0B2545"/>
          <w:sz w:val="22"/>
          <w:szCs w:val="22"/>
        </w:rPr>
        <w:t xml:space="preserve">PAN:</w:t>
      </w:r>
      <w:r>
        <w:rPr>
          <w:rFonts w:ascii="Calibri" w:cs="Calibri" w:eastAsia="Calibri" w:hAnsi="Calibri"/>
          <w:sz w:val="22"/>
          <w:szCs w:val="22"/>
        </w:rPr>
        <w:t xml:space="preserve">  [MERCHANT PAN]</w:t>
      </w:r>
    </w:p>
    <w:p>
      <w:pPr>
        <w:spacing w:after="40"/>
      </w:pPr>
      <w:r>
        <w:rPr>
          <w:rFonts w:ascii="Calibri" w:cs="Calibri" w:eastAsia="Calibri" w:hAnsi="Calibri"/>
          <w:b/>
          <w:bCs/>
          <w:color w:val="0B2545"/>
          <w:sz w:val="22"/>
          <w:szCs w:val="22"/>
        </w:rPr>
        <w:t xml:space="preserve">Registered address:</w:t>
      </w:r>
      <w:r>
        <w:rPr>
          <w:rFonts w:ascii="Calibri" w:cs="Calibri" w:eastAsia="Calibri" w:hAnsi="Calibri"/>
          <w:sz w:val="22"/>
          <w:szCs w:val="22"/>
        </w:rPr>
        <w:t xml:space="preserve">  [MERCHANT ADDRESS LINE 1], [CITY], [STATE], [PIN]</w:t>
      </w:r>
    </w:p>
    <w:p>
      <w:pPr>
        <w:spacing w:after="40"/>
      </w:pPr>
      <w:r>
        <w:rPr>
          <w:rFonts w:ascii="Calibri" w:cs="Calibri" w:eastAsia="Calibri" w:hAnsi="Calibri"/>
          <w:b/>
          <w:bCs/>
          <w:color w:val="0B2545"/>
          <w:sz w:val="22"/>
          <w:szCs w:val="22"/>
        </w:rPr>
        <w:t xml:space="preserve">Contact:</w:t>
      </w:r>
      <w:r>
        <w:rPr>
          <w:rFonts w:ascii="Calibri" w:cs="Calibri" w:eastAsia="Calibri" w:hAnsi="Calibri"/>
          <w:sz w:val="22"/>
          <w:szCs w:val="22"/>
        </w:rPr>
        <w:t xml:space="preserve">  [FINANCE CONTACT NAME], [DESIGNATION], [PHONE], [EMAIL]</w:t>
      </w:r>
    </w:p>
    <w:p>
      <w:pPr>
        <w:spacing w:after="40"/>
      </w:pPr>
      <w:r>
        <w:rPr>
          <w:rFonts w:ascii="Calibri" w:cs="Calibri" w:eastAsia="Calibri" w:hAnsi="Calibri"/>
          <w:b/>
          <w:bCs/>
          <w:color w:val="0B2545"/>
          <w:sz w:val="22"/>
          <w:szCs w:val="22"/>
        </w:rPr>
        <w:t xml:space="preserve">Date:</w:t>
      </w:r>
      <w:r>
        <w:rPr>
          <w:rFonts w:ascii="Calibri" w:cs="Calibri" w:eastAsia="Calibri" w:hAnsi="Calibri"/>
          <w:sz w:val="22"/>
          <w:szCs w:val="22"/>
        </w:rPr>
        <w:t xml:space="preserve">  [DISPATCH DATE — DD MMM YYYY]</w:t>
      </w:r>
    </w:p>
    <w:p>
      <w:pPr>
        <w:pStyle w:val="Heading2"/>
        <w:spacing w:after="100" w:before="240"/>
      </w:pPr>
      <w:r>
        <w:rPr>
          <w:rFonts w:ascii="Calibri" w:cs="Calibri" w:eastAsia="Calibri" w:hAnsi="Calibri"/>
          <w:b/>
          <w:bCs/>
          <w:color w:val="0B2545"/>
          <w:sz w:val="24"/>
          <w:szCs w:val="24"/>
        </w:rPr>
        <w:t xml:space="preserve">Level 1 — Portal Support Officer (POC) — Seller Central Contact Us case (dispatch within 3 business days of settlement)</w:t>
      </w:r>
    </w:p>
    <w:p>
      <w:pPr>
        <w:pStyle w:val="Heading3"/>
        <w:spacing w:after="80" w:before="180"/>
      </w:pPr>
      <w:r>
        <w:rPr>
          <w:rFonts w:ascii="Calibri" w:cs="Calibri" w:eastAsia="Calibri" w:hAnsi="Calibri"/>
          <w:b/>
          <w:bCs/>
          <w:color w:val="0B2545"/>
          <w:sz w:val="22"/>
          <w:szCs w:val="22"/>
        </w:rPr>
        <w:t xml:space="preserve">Addressee</w:t>
      </w:r>
    </w:p>
    <w:p>
      <w:pPr>
        <w:spacing w:after="40"/>
      </w:pPr>
      <w:r>
        <w:rPr>
          <w:rFonts w:ascii="Calibri" w:cs="Calibri" w:eastAsia="Calibri" w:hAnsi="Calibri"/>
          <w:b/>
          <w:bCs/>
          <w:color w:val="0B2545"/>
          <w:sz w:val="22"/>
          <w:szCs w:val="22"/>
        </w:rPr>
        <w:t xml:space="preserve">To:</w:t>
      </w:r>
      <w:r>
        <w:rPr>
          <w:rFonts w:ascii="Calibri" w:cs="Calibri" w:eastAsia="Calibri" w:hAnsi="Calibri"/>
          <w:sz w:val="22"/>
          <w:szCs w:val="22"/>
        </w:rPr>
        <w:t xml:space="preserve">  Amazon Seller Support</w:t>
      </w:r>
    </w:p>
    <w:p>
      <w:pPr>
        <w:spacing w:after="40"/>
      </w:pPr>
      <w:r>
        <w:rPr>
          <w:rFonts w:ascii="Calibri" w:cs="Calibri" w:eastAsia="Calibri" w:hAnsi="Calibri"/>
          <w:b/>
          <w:bCs/>
          <w:color w:val="0B2545"/>
          <w:sz w:val="22"/>
          <w:szCs w:val="22"/>
        </w:rPr>
        <w:t xml:space="preserve">Via:</w:t>
      </w:r>
      <w:r>
        <w:rPr>
          <w:rFonts w:ascii="Calibri" w:cs="Calibri" w:eastAsia="Calibri" w:hAnsi="Calibri"/>
          <w:sz w:val="22"/>
          <w:szCs w:val="22"/>
        </w:rPr>
        <w:t xml:space="preserve">  Seller Central → Contact Us → Payments → Disbursements → Raise a Case</w:t>
      </w:r>
    </w:p>
    <w:p>
      <w:pPr>
        <w:pStyle w:val="Heading3"/>
        <w:spacing w:after="80" w:before="180"/>
      </w:pPr>
      <w:r>
        <w:rPr>
          <w:rFonts w:ascii="Calibri" w:cs="Calibri" w:eastAsia="Calibri" w:hAnsi="Calibri"/>
          <w:b/>
          <w:bCs/>
          <w:color w:val="0B2545"/>
          <w:sz w:val="22"/>
          <w:szCs w:val="22"/>
        </w:rPr>
        <w:t xml:space="preserve">Subject</w:t>
      </w:r>
    </w:p>
    <w:p>
      <w:pPr>
        <w:spacing w:after="120"/>
        <w:jc w:val="left"/>
      </w:pPr>
      <w:r>
        <w:rPr>
          <w:rFonts w:ascii="Calibri" w:cs="Calibri" w:eastAsia="Calibri" w:hAnsi="Calibri"/>
          <w:b/>
          <w:bCs/>
          <w:sz w:val="22"/>
          <w:szCs w:val="22"/>
        </w:rPr>
        <w:t xml:space="preserve">Subject: Dispute on Seller Disbursement — Disbursement ID [SETTLEMENT REFERENCE] — Seller [SELLER NAME] Seller ID [SELLER ID] GSTIN [MERCHANT GSTIN]</w:t>
      </w:r>
    </w:p>
    <w:p>
      <w:pPr>
        <w:spacing w:after="120"/>
        <w:jc w:val="left"/>
      </w:pPr>
      <w:r>
        <w:rPr>
          <w:rFonts w:ascii="Calibri" w:cs="Calibri" w:eastAsia="Calibri" w:hAnsi="Calibri"/>
          <w:sz w:val="22"/>
          <w:szCs w:val="22"/>
        </w:rPr>
        <w:t xml:space="preserve">Dear Amazon Seller Support Team,</w:t>
      </w:r>
    </w:p>
    <w:p>
      <w:pPr>
        <w:spacing w:after="120"/>
        <w:jc w:val="left"/>
      </w:pPr>
      <w:r>
        <w:rPr>
          <w:rFonts w:ascii="Calibri" w:cs="Calibri" w:eastAsia="Calibri" w:hAnsi="Calibri"/>
          <w:sz w:val="22"/>
          <w:szCs w:val="22"/>
        </w:rPr>
        <w:t xml:space="preserve">This is Day [DAY NUMBER] of 7 in the Amazon Seller Central dispute window for Disbursement ID [SETTLEMENT REFERENCE], credited on [SETTLEMENT DATE] for the settlement period ending [SETTLEMENT PERIOD END DATE]. This dispute is at the highest urgency in our internal dispute pack because the Amazon window auto-closes on Day 8.</w:t>
      </w:r>
    </w:p>
    <w:p>
      <w:pPr>
        <w:spacing w:after="120"/>
        <w:jc w:val="left"/>
      </w:pPr>
      <w:r>
        <w:rPr>
          <w:rFonts w:ascii="Calibri" w:cs="Calibri" w:eastAsia="Calibri" w:hAnsi="Calibri"/>
          <w:sz w:val="22"/>
          <w:szCs w:val="22"/>
        </w:rPr>
        <w:t xml:space="preserve">We are raising a dispute against the seller disbursement for the settlement period ending [SETTLEMENT PERIOD END DATE]. The disbursement includes an illustrative [DISPUTE CATEGORY — e.g., FBA long-term storage fee] of Rs [DISPUTE AMOUNT Rs] (illustrative: Rs 42,300) charged against ASIN [ASIN] for the storage cycle ending [STORAGE CYCLE END DATE]. Our warehouse removal log confirms that the disputed inventory was removed from FBA warehouses on [REMOVAL DATE], which falls before the storage-fee assessment date of [ASSESSMENT DATE].</w:t>
      </w:r>
    </w:p>
    <w:p>
      <w:pPr>
        <w:spacing w:after="120"/>
        <w:jc w:val="left"/>
      </w:pPr>
      <w:r>
        <w:rPr>
          <w:rFonts w:ascii="Calibri" w:cs="Calibri" w:eastAsia="Calibri" w:hAnsi="Calibri"/>
          <w:sz w:val="22"/>
          <w:szCs w:val="22"/>
        </w:rPr>
        <w:t xml:space="preserve">The FBA removal manifest, the ASIN-level inventory log, and the Day 4 platform settlement decomposition extract are attached. Under the Amazon Services Business Solutions Agreement and the fee schedules published for the FBA long-term storage program, storage fees are assessed on inventory held in FBA facilities on the assessment date. The attached evidence confirms the inventory was withdrawn from Amazon fulfilment on [REMOVAL DATE], prior to the assessment date of [ASSESSMENT DATE].</w:t>
      </w:r>
    </w:p>
    <w:p>
      <w:pPr>
        <w:spacing w:after="120"/>
        <w:jc w:val="left"/>
      </w:pPr>
      <w:r>
        <w:rPr>
          <w:rFonts w:ascii="Calibri" w:cs="Calibri" w:eastAsia="Calibri" w:hAnsi="Calibri"/>
          <w:sz w:val="22"/>
          <w:szCs w:val="22"/>
        </w:rPr>
        <w:t xml:space="preserve">Please review the removal log against the assessment, refund the disputed Rs [DISPUTE AMOUNT Rs], and confirm resolution in the next disbursement cycle. The Amazon Seller Central dispute window is 7 days from settlement date and closes on [DISPUTE WINDOW CLOSE DATE]. A dispute filed after Day 7 is auto-closed as time-barred. Please acknowledge receipt within one business day and confirm a first substantive response within three business days.</w:t>
      </w:r>
    </w:p>
    <w:p>
      <w:pPr>
        <w:spacing w:after="120"/>
        <w:jc w:val="left"/>
      </w:pPr>
      <w:r>
        <w:rPr>
          <w:rFonts w:ascii="Calibri" w:cs="Calibri" w:eastAsia="Calibri" w:hAnsi="Calibri"/>
          <w:sz w:val="22"/>
          <w:szCs w:val="22"/>
        </w:rPr>
        <w:t xml:space="preserve">Regards,</w:t>
      </w:r>
    </w:p>
    <w:p>
      <w:pPr>
        <w:spacing w:after="120"/>
        <w:jc w:val="left"/>
      </w:pPr>
      <w:r>
        <w:rPr>
          <w:rFonts w:ascii="Calibri" w:cs="Calibri" w:eastAsia="Calibri" w:hAnsi="Calibri"/>
          <w:b/>
          <w:bCs/>
          <w:sz w:val="22"/>
          <w:szCs w:val="22"/>
        </w:rPr>
        <w:t xml:space="preserve">[FINANCE CONTACT NAME], [DESIGNATION]</w:t>
      </w:r>
    </w:p>
    <w:p>
      <w:pPr>
        <w:spacing w:after="120"/>
        <w:jc w:val="left"/>
      </w:pPr>
      <w:r>
        <w:rPr>
          <w:rFonts w:ascii="Calibri" w:cs="Calibri" w:eastAsia="Calibri" w:hAnsi="Calibri"/>
          <w:sz w:val="22"/>
          <w:szCs w:val="22"/>
        </w:rPr>
        <w:t xml:space="preserve">[MERCHANT COMPANY NAME]  |  GSTIN [MERCHANT GSTIN]</w:t>
      </w:r>
    </w:p>
    <w:p>
      <w:pPr>
        <w:pStyle w:val="Heading2"/>
        <w:spacing w:after="100" w:before="240"/>
      </w:pPr>
      <w:r>
        <w:rPr>
          <w:rFonts w:ascii="Calibri" w:cs="Calibri" w:eastAsia="Calibri" w:hAnsi="Calibri"/>
          <w:b/>
          <w:bCs/>
          <w:color w:val="0B2545"/>
          <w:sz w:val="24"/>
          <w:szCs w:val="24"/>
        </w:rPr>
        <w:t xml:space="preserve">Level 2 — Seller Support Case Log escalation — Amazon Services Network (SPN)</w:t>
      </w:r>
    </w:p>
    <w:p>
      <w:pPr>
        <w:pStyle w:val="Heading3"/>
        <w:spacing w:after="80" w:before="180"/>
      </w:pPr>
      <w:r>
        <w:rPr>
          <w:rFonts w:ascii="Calibri" w:cs="Calibri" w:eastAsia="Calibri" w:hAnsi="Calibri"/>
          <w:b/>
          <w:bCs/>
          <w:color w:val="0B2545"/>
          <w:sz w:val="22"/>
          <w:szCs w:val="22"/>
        </w:rPr>
        <w:t xml:space="preserve">Addressee</w:t>
      </w:r>
    </w:p>
    <w:p>
      <w:pPr>
        <w:spacing w:after="40"/>
      </w:pPr>
      <w:r>
        <w:rPr>
          <w:rFonts w:ascii="Calibri" w:cs="Calibri" w:eastAsia="Calibri" w:hAnsi="Calibri"/>
          <w:b/>
          <w:bCs/>
          <w:color w:val="0B2545"/>
          <w:sz w:val="22"/>
          <w:szCs w:val="22"/>
        </w:rPr>
        <w:t xml:space="preserve">To:</w:t>
      </w:r>
      <w:r>
        <w:rPr>
          <w:rFonts w:ascii="Calibri" w:cs="Calibri" w:eastAsia="Calibri" w:hAnsi="Calibri"/>
          <w:sz w:val="22"/>
          <w:szCs w:val="22"/>
        </w:rPr>
        <w:t xml:space="preserve">  Amazon Services Network — Seller Support Case Escalation</w:t>
      </w:r>
    </w:p>
    <w:p>
      <w:pPr>
        <w:spacing w:after="40"/>
      </w:pPr>
      <w:r>
        <w:rPr>
          <w:rFonts w:ascii="Calibri" w:cs="Calibri" w:eastAsia="Calibri" w:hAnsi="Calibri"/>
          <w:b/>
          <w:bCs/>
          <w:color w:val="0B2545"/>
          <w:sz w:val="22"/>
          <w:szCs w:val="22"/>
        </w:rPr>
        <w:t xml:space="preserve">Cc:</w:t>
      </w:r>
      <w:r>
        <w:rPr>
          <w:rFonts w:ascii="Calibri" w:cs="Calibri" w:eastAsia="Calibri" w:hAnsi="Calibri"/>
          <w:sz w:val="22"/>
          <w:szCs w:val="22"/>
        </w:rPr>
        <w:t xml:space="preserve">  [ACCOUNT MANAGER NAME] — Named Amazon SPOC (if the seller is on the Strategic Account or Growth programme)</w:t>
      </w:r>
    </w:p>
    <w:p>
      <w:pPr>
        <w:spacing w:after="40"/>
      </w:pPr>
      <w:r>
        <w:rPr>
          <w:rFonts w:ascii="Calibri" w:cs="Calibri" w:eastAsia="Calibri" w:hAnsi="Calibri"/>
          <w:b/>
          <w:bCs/>
          <w:color w:val="0B2545"/>
          <w:sz w:val="22"/>
          <w:szCs w:val="22"/>
        </w:rPr>
        <w:t xml:space="preserve">Ref:</w:t>
      </w:r>
      <w:r>
        <w:rPr>
          <w:rFonts w:ascii="Calibri" w:cs="Calibri" w:eastAsia="Calibri" w:hAnsi="Calibri"/>
          <w:sz w:val="22"/>
          <w:szCs w:val="22"/>
        </w:rPr>
        <w:t xml:space="preserve">  Level 1 Case [TICKET REFERENCE] opened on [LEVEL 1 DATE]</w:t>
      </w:r>
    </w:p>
    <w:p>
      <w:pPr>
        <w:pStyle w:val="Heading3"/>
        <w:spacing w:after="80" w:before="180"/>
      </w:pPr>
      <w:r>
        <w:rPr>
          <w:rFonts w:ascii="Calibri" w:cs="Calibri" w:eastAsia="Calibri" w:hAnsi="Calibri"/>
          <w:b/>
          <w:bCs/>
          <w:color w:val="0B2545"/>
          <w:sz w:val="22"/>
          <w:szCs w:val="22"/>
        </w:rPr>
        <w:t xml:space="preserve">Subject</w:t>
      </w:r>
    </w:p>
    <w:p>
      <w:pPr>
        <w:spacing w:after="120"/>
        <w:jc w:val="left"/>
      </w:pPr>
      <w:r>
        <w:rPr>
          <w:rFonts w:ascii="Calibri" w:cs="Calibri" w:eastAsia="Calibri" w:hAnsi="Calibri"/>
          <w:b/>
          <w:bCs/>
          <w:sz w:val="22"/>
          <w:szCs w:val="22"/>
        </w:rPr>
        <w:t xml:space="preserve">Subject: Case Escalation — Disbursement ID [SETTLEMENT REFERENCE] — Rs [DISPUTE AMOUNT Rs] — 7-day dispute window closing on [DISPUTE WINDOW CLOSE DATE]</w:t>
      </w:r>
    </w:p>
    <w:p>
      <w:pPr>
        <w:spacing w:after="120"/>
        <w:jc w:val="left"/>
      </w:pPr>
      <w:r>
        <w:rPr>
          <w:rFonts w:ascii="Calibri" w:cs="Calibri" w:eastAsia="Calibri" w:hAnsi="Calibri"/>
          <w:sz w:val="22"/>
          <w:szCs w:val="22"/>
        </w:rPr>
        <w:t xml:space="preserve">Dear Amazon Services Network Team,</w:t>
      </w:r>
    </w:p>
    <w:p>
      <w:pPr>
        <w:spacing w:after="120"/>
        <w:jc w:val="left"/>
      </w:pPr>
      <w:r>
        <w:rPr>
          <w:rFonts w:ascii="Calibri" w:cs="Calibri" w:eastAsia="Calibri" w:hAnsi="Calibri"/>
          <w:sz w:val="22"/>
          <w:szCs w:val="22"/>
        </w:rPr>
        <w:t xml:space="preserve">This is Day [DAY NUMBER] of 7 in the Amazon Seller Central dispute window for Disbursement ID [SETTLEMENT REFERENCE]. Following the Level 1 case [TICKET REFERENCE] opened on [LEVEL 1 DATE] and the absence of a substantive resolution within three business days of the seven-day dispute window, we are escalating to Amazon Services Network.</w:t>
      </w:r>
    </w:p>
    <w:p>
      <w:pPr>
        <w:spacing w:after="120"/>
        <w:jc w:val="left"/>
      </w:pPr>
      <w:r>
        <w:rPr>
          <w:rFonts w:ascii="Calibri" w:cs="Calibri" w:eastAsia="Calibri" w:hAnsi="Calibri"/>
          <w:sz w:val="22"/>
          <w:szCs w:val="22"/>
        </w:rPr>
        <w:t xml:space="preserve">The disputed amount of Rs [DISPUTE AMOUNT Rs] remains outstanding. Under the Amazon Services Business Solutions Agreement and the fee schedules published for the FBA long-term storage program, storage fees are assessed on inventory held in FBA facilities on the assessment date. The attached warehouse removal manifest confirms the inventory was withdrawn from Amazon fulfilment on [REMOVAL DATE], prior to the assessment date of [ASSESSMENT DATE].</w:t>
      </w:r>
    </w:p>
    <w:p>
      <w:pPr>
        <w:spacing w:after="120"/>
        <w:jc w:val="left"/>
      </w:pPr>
      <w:r>
        <w:rPr>
          <w:rFonts w:ascii="Calibri" w:cs="Calibri" w:eastAsia="Calibri" w:hAnsi="Calibri"/>
          <w:sz w:val="22"/>
          <w:szCs w:val="22"/>
        </w:rPr>
        <w:t xml:space="preserve">The fulfilment centre removal reference is [REMOVAL REFERENCE], the ASIN is [ASIN], and the SKU count is [SKU COUNT]. The Seller Central inventory log at the time of assessment shows zero units in FBA against these ASINs.</w:t>
      </w:r>
    </w:p>
    <w:p>
      <w:pPr>
        <w:spacing w:after="120"/>
        <w:jc w:val="left"/>
      </w:pPr>
      <w:r>
        <w:rPr>
          <w:rFonts w:ascii="Calibri" w:cs="Calibri" w:eastAsia="Calibri" w:hAnsi="Calibri"/>
          <w:sz w:val="22"/>
          <w:szCs w:val="22"/>
        </w:rPr>
        <w:t xml:space="preserve">Given the 7-day dispute window and the two business days already consumed by the Level 1 case, we request a Level 2 substantive response within one business day. Please process the refund of Rs [DISPUTE AMOUNT Rs] in the next disbursement cycle and confirm the corresponding fee reversal in the Fee Preview report.</w:t>
      </w:r>
    </w:p>
    <w:p>
      <w:pPr>
        <w:spacing w:after="120"/>
        <w:jc w:val="left"/>
      </w:pPr>
      <w:r>
        <w:rPr>
          <w:rFonts w:ascii="Calibri" w:cs="Calibri" w:eastAsia="Calibri" w:hAnsi="Calibri"/>
          <w:sz w:val="22"/>
          <w:szCs w:val="22"/>
        </w:rPr>
        <w:t xml:space="preserve">Regards,</w:t>
      </w:r>
    </w:p>
    <w:p>
      <w:pPr>
        <w:spacing w:after="120"/>
        <w:jc w:val="left"/>
      </w:pPr>
      <w:r>
        <w:rPr>
          <w:rFonts w:ascii="Calibri" w:cs="Calibri" w:eastAsia="Calibri" w:hAnsi="Calibri"/>
          <w:b/>
          <w:bCs/>
          <w:sz w:val="22"/>
          <w:szCs w:val="22"/>
        </w:rPr>
        <w:t xml:space="preserve">[FINANCE CONTACT NAME], [DESIGNATION]</w:t>
      </w:r>
    </w:p>
    <w:p>
      <w:pPr>
        <w:spacing w:after="120"/>
        <w:jc w:val="left"/>
      </w:pPr>
      <w:r>
        <w:rPr>
          <w:rFonts w:ascii="Calibri" w:cs="Calibri" w:eastAsia="Calibri" w:hAnsi="Calibri"/>
          <w:sz w:val="22"/>
          <w:szCs w:val="22"/>
        </w:rPr>
        <w:t xml:space="preserve">[MERCHANT COMPANY NAME]  |  GSTIN [MERCHANT GSTIN]</w:t>
      </w:r>
    </w:p>
    <w:p>
      <w:pPr>
        <w:pStyle w:val="Heading2"/>
        <w:spacing w:after="100" w:before="240"/>
      </w:pPr>
      <w:r>
        <w:rPr>
          <w:rFonts w:ascii="Calibri" w:cs="Calibri" w:eastAsia="Calibri" w:hAnsi="Calibri"/>
          <w:b/>
          <w:bCs/>
          <w:color w:val="0B2545"/>
          <w:sz w:val="24"/>
          <w:szCs w:val="24"/>
        </w:rPr>
        <w:t xml:space="preserve">Level 3 — Amazon SPN Grievance Officer under Rule 5</w:t>
      </w:r>
    </w:p>
    <w:p>
      <w:pPr>
        <w:pStyle w:val="Heading3"/>
        <w:spacing w:after="80" w:before="180"/>
      </w:pPr>
      <w:r>
        <w:rPr>
          <w:rFonts w:ascii="Calibri" w:cs="Calibri" w:eastAsia="Calibri" w:hAnsi="Calibri"/>
          <w:b/>
          <w:bCs/>
          <w:color w:val="0B2545"/>
          <w:sz w:val="22"/>
          <w:szCs w:val="22"/>
        </w:rPr>
        <w:t xml:space="preserve">Addressee</w:t>
      </w:r>
    </w:p>
    <w:p>
      <w:pPr>
        <w:spacing w:after="40"/>
      </w:pPr>
      <w:r>
        <w:rPr>
          <w:rFonts w:ascii="Calibri" w:cs="Calibri" w:eastAsia="Calibri" w:hAnsi="Calibri"/>
          <w:b/>
          <w:bCs/>
          <w:color w:val="0B2545"/>
          <w:sz w:val="22"/>
          <w:szCs w:val="22"/>
        </w:rPr>
        <w:t xml:space="preserve">To:</w:t>
      </w:r>
      <w:r>
        <w:rPr>
          <w:rFonts w:ascii="Calibri" w:cs="Calibri" w:eastAsia="Calibri" w:hAnsi="Calibri"/>
          <w:sz w:val="22"/>
          <w:szCs w:val="22"/>
        </w:rPr>
        <w:t xml:space="preserve">  Amazon SPN Grievance Officer under Rule 5 of the Consumer Protection (E-Commerce) Rules 2020</w:t>
      </w:r>
    </w:p>
    <w:p>
      <w:pPr>
        <w:spacing w:after="40"/>
      </w:pPr>
      <w:r>
        <w:rPr>
          <w:rFonts w:ascii="Calibri" w:cs="Calibri" w:eastAsia="Calibri" w:hAnsi="Calibri"/>
          <w:b/>
          <w:bCs/>
          <w:color w:val="0B2545"/>
          <w:sz w:val="22"/>
          <w:szCs w:val="22"/>
        </w:rPr>
        <w:t xml:space="preserve">Cc:</w:t>
      </w:r>
      <w:r>
        <w:rPr>
          <w:rFonts w:ascii="Calibri" w:cs="Calibri" w:eastAsia="Calibri" w:hAnsi="Calibri"/>
          <w:sz w:val="22"/>
          <w:szCs w:val="22"/>
        </w:rPr>
        <w:t xml:space="preserve">  Amazon Services Network — Case Escalation Team; [ACCOUNT MANAGER NAME] if applicable</w:t>
      </w:r>
    </w:p>
    <w:p>
      <w:pPr>
        <w:spacing w:after="40"/>
      </w:pPr>
      <w:r>
        <w:rPr>
          <w:rFonts w:ascii="Calibri" w:cs="Calibri" w:eastAsia="Calibri" w:hAnsi="Calibri"/>
          <w:b/>
          <w:bCs/>
          <w:color w:val="0B2545"/>
          <w:sz w:val="22"/>
          <w:szCs w:val="22"/>
        </w:rPr>
        <w:t xml:space="preserve">Ref:</w:t>
      </w:r>
      <w:r>
        <w:rPr>
          <w:rFonts w:ascii="Calibri" w:cs="Calibri" w:eastAsia="Calibri" w:hAnsi="Calibri"/>
          <w:sz w:val="22"/>
          <w:szCs w:val="22"/>
        </w:rPr>
        <w:t xml:space="preserve">  Level 1 Case [TICKET REFERENCE]; Level 2 SPN Case [ESCALATION REFERENCE]</w:t>
      </w:r>
    </w:p>
    <w:p>
      <w:pPr>
        <w:pStyle w:val="Heading3"/>
        <w:spacing w:after="80" w:before="180"/>
      </w:pPr>
      <w:r>
        <w:rPr>
          <w:rFonts w:ascii="Calibri" w:cs="Calibri" w:eastAsia="Calibri" w:hAnsi="Calibri"/>
          <w:b/>
          <w:bCs/>
          <w:color w:val="0B2545"/>
          <w:sz w:val="22"/>
          <w:szCs w:val="22"/>
        </w:rPr>
        <w:t xml:space="preserve">Subject</w:t>
      </w:r>
    </w:p>
    <w:p>
      <w:pPr>
        <w:spacing w:after="120"/>
        <w:jc w:val="left"/>
      </w:pPr>
      <w:r>
        <w:rPr>
          <w:rFonts w:ascii="Calibri" w:cs="Calibri" w:eastAsia="Calibri" w:hAnsi="Calibri"/>
          <w:b/>
          <w:bCs/>
          <w:sz w:val="22"/>
          <w:szCs w:val="22"/>
        </w:rPr>
        <w:t xml:space="preserve">Subject: Rule 5 grievance escalation — Disbursement ID [SETTLEMENT REFERENCE] — Rs [DISPUTE AMOUNT Rs] — dispute window closing on [DISPUTE WINDOW CLOSE DATE]</w:t>
      </w:r>
    </w:p>
    <w:p>
      <w:pPr>
        <w:spacing w:after="120"/>
        <w:jc w:val="left"/>
      </w:pPr>
      <w:r>
        <w:rPr>
          <w:rFonts w:ascii="Calibri" w:cs="Calibri" w:eastAsia="Calibri" w:hAnsi="Calibri"/>
          <w:sz w:val="22"/>
          <w:szCs w:val="22"/>
        </w:rPr>
        <w:t xml:space="preserve">Dear Grievance Officer,</w:t>
      </w:r>
    </w:p>
    <w:p>
      <w:pPr>
        <w:spacing w:after="120"/>
        <w:jc w:val="left"/>
      </w:pPr>
      <w:r>
        <w:rPr>
          <w:rFonts w:ascii="Calibri" w:cs="Calibri" w:eastAsia="Calibri" w:hAnsi="Calibri"/>
          <w:sz w:val="22"/>
          <w:szCs w:val="22"/>
        </w:rPr>
        <w:t xml:space="preserve">This is Day [DAY NUMBER] of 7 in the Amazon Seller Central dispute window for Disbursement ID [SETTLEMENT REFERENCE]. Following the Level 2 escalation to Amazon Services Network on Case ID [ESCALATION REFERENCE] and the absence of resolution with the dispute window closing on [DISPUTE WINDOW CLOSE DATE], we are escalating to the Amazon SPN grievance officer under Rule 5 of the Consumer Protection (E-Commerce) Rules 2020 issued under the Consumer Protection Act 2019.</w:t>
      </w:r>
    </w:p>
    <w:p>
      <w:pPr>
        <w:spacing w:after="120"/>
        <w:jc w:val="left"/>
      </w:pPr>
      <w:r>
        <w:rPr>
          <w:rFonts w:ascii="Calibri" w:cs="Calibri" w:eastAsia="Calibri" w:hAnsi="Calibri"/>
          <w:sz w:val="22"/>
          <w:szCs w:val="22"/>
        </w:rPr>
        <w:t xml:space="preserve">The disputed amount is Rs [DISPUTE AMOUNT Rs]. Under Rule 5, the grievance officer’s name and contact details are required to be published on the platform, complaints must be resolved within one month, and a grievance redressal mechanism must be maintained accessible to the merchant. The escalation path from Seller Support (Level 1) through Amazon Services Network (Level 2) to this grievance escalation has been fully documented and is attached.</w:t>
      </w:r>
    </w:p>
    <w:p>
      <w:pPr>
        <w:spacing w:after="120"/>
        <w:jc w:val="left"/>
      </w:pPr>
      <w:r>
        <w:rPr>
          <w:rFonts w:ascii="Calibri" w:cs="Calibri" w:eastAsia="Calibri" w:hAnsi="Calibri"/>
          <w:sz w:val="22"/>
          <w:szCs w:val="22"/>
        </w:rPr>
        <w:t xml:space="preserve">The complaint reference is [COMPLAINT REFERENCE], filed on [DATE]. Given the seven-day dispute window and the risk of the case being auto-closed as time-barred, we request that the grievance officer expedite the review and process the refund of Rs [DISPUTE AMOUNT Rs] in the next disbursement cycle.</w:t>
      </w:r>
    </w:p>
    <w:p>
      <w:pPr>
        <w:spacing w:after="120"/>
        <w:jc w:val="left"/>
      </w:pPr>
      <w:r>
        <w:rPr>
          <w:rFonts w:ascii="Calibri" w:cs="Calibri" w:eastAsia="Calibri" w:hAnsi="Calibri"/>
          <w:sz w:val="22"/>
          <w:szCs w:val="22"/>
        </w:rPr>
        <w:t xml:space="preserve">Regards,</w:t>
      </w:r>
    </w:p>
    <w:p>
      <w:pPr>
        <w:spacing w:after="120"/>
        <w:jc w:val="left"/>
      </w:pPr>
      <w:r>
        <w:rPr>
          <w:rFonts w:ascii="Calibri" w:cs="Calibri" w:eastAsia="Calibri" w:hAnsi="Calibri"/>
          <w:b/>
          <w:bCs/>
          <w:sz w:val="22"/>
          <w:szCs w:val="22"/>
        </w:rPr>
        <w:t xml:space="preserve">[FINANCE CONTACT NAME], [DESIGNATION]</w:t>
      </w:r>
    </w:p>
    <w:p>
      <w:pPr>
        <w:spacing w:after="120"/>
        <w:jc w:val="left"/>
      </w:pPr>
      <w:r>
        <w:rPr>
          <w:rFonts w:ascii="Calibri" w:cs="Calibri" w:eastAsia="Calibri" w:hAnsi="Calibri"/>
          <w:sz w:val="22"/>
          <w:szCs w:val="22"/>
        </w:rPr>
        <w:t xml:space="preserve">[MERCHANT COMPANY NAME]  |  GSTIN [MERCHANT GSTIN]</w:t>
      </w:r>
    </w:p>
    <w:p>
      <w:pPr>
        <w:pStyle w:val="Heading2"/>
        <w:spacing w:after="100" w:before="240"/>
      </w:pPr>
      <w:r>
        <w:rPr>
          <w:rFonts w:ascii="Calibri" w:cs="Calibri" w:eastAsia="Calibri" w:hAnsi="Calibri"/>
          <w:b/>
          <w:bCs/>
          <w:color w:val="0B2545"/>
          <w:sz w:val="24"/>
          <w:szCs w:val="24"/>
        </w:rPr>
        <w:t xml:space="preserve">Level 4 — Key Account Director — reserved for material cumulative value (&gt; Rs 2 lakh)</w:t>
      </w:r>
    </w:p>
    <w:p>
      <w:pPr>
        <w:pStyle w:val="Heading3"/>
        <w:spacing w:after="80" w:before="180"/>
      </w:pPr>
      <w:r>
        <w:rPr>
          <w:rFonts w:ascii="Calibri" w:cs="Calibri" w:eastAsia="Calibri" w:hAnsi="Calibri"/>
          <w:b/>
          <w:bCs/>
          <w:color w:val="0B2545"/>
          <w:sz w:val="22"/>
          <w:szCs w:val="22"/>
        </w:rPr>
        <w:t xml:space="preserve">Addressee</w:t>
      </w:r>
    </w:p>
    <w:p>
      <w:pPr>
        <w:spacing w:after="40"/>
      </w:pPr>
      <w:r>
        <w:rPr>
          <w:rFonts w:ascii="Calibri" w:cs="Calibri" w:eastAsia="Calibri" w:hAnsi="Calibri"/>
          <w:b/>
          <w:bCs/>
          <w:color w:val="0B2545"/>
          <w:sz w:val="22"/>
          <w:szCs w:val="22"/>
        </w:rPr>
        <w:t xml:space="preserve">To:</w:t>
      </w:r>
      <w:r>
        <w:rPr>
          <w:rFonts w:ascii="Calibri" w:cs="Calibri" w:eastAsia="Calibri" w:hAnsi="Calibri"/>
          <w:sz w:val="22"/>
          <w:szCs w:val="22"/>
        </w:rPr>
        <w:t xml:space="preserve">  Key Account Director — Amazon Strategic Account Team</w:t>
      </w:r>
    </w:p>
    <w:p>
      <w:pPr>
        <w:spacing w:after="40"/>
      </w:pPr>
      <w:r>
        <w:rPr>
          <w:rFonts w:ascii="Calibri" w:cs="Calibri" w:eastAsia="Calibri" w:hAnsi="Calibri"/>
          <w:b/>
          <w:bCs/>
          <w:color w:val="0B2545"/>
          <w:sz w:val="22"/>
          <w:szCs w:val="22"/>
        </w:rPr>
        <w:t xml:space="preserve">Cc:</w:t>
      </w:r>
      <w:r>
        <w:rPr>
          <w:rFonts w:ascii="Calibri" w:cs="Calibri" w:eastAsia="Calibri" w:hAnsi="Calibri"/>
          <w:sz w:val="22"/>
          <w:szCs w:val="22"/>
        </w:rPr>
        <w:t xml:space="preserve">  Amazon SPN Grievance Officer, Amazon Services Network</w:t>
      </w:r>
    </w:p>
    <w:p>
      <w:pPr>
        <w:spacing w:after="40"/>
      </w:pPr>
      <w:r>
        <w:rPr>
          <w:rFonts w:ascii="Calibri" w:cs="Calibri" w:eastAsia="Calibri" w:hAnsi="Calibri"/>
          <w:b/>
          <w:bCs/>
          <w:color w:val="0B2545"/>
          <w:sz w:val="22"/>
          <w:szCs w:val="22"/>
        </w:rPr>
        <w:t xml:space="preserve">Ref:</w:t>
      </w:r>
      <w:r>
        <w:rPr>
          <w:rFonts w:ascii="Calibri" w:cs="Calibri" w:eastAsia="Calibri" w:hAnsi="Calibri"/>
          <w:sz w:val="22"/>
          <w:szCs w:val="22"/>
        </w:rPr>
        <w:t xml:space="preserve">  Level 1 [TICKET REFERENCE]; Level 2 [ESCALATION REFERENCE]; Level 3 [COMPLAINT REFERENCE]</w:t>
      </w:r>
    </w:p>
    <w:p>
      <w:pPr>
        <w:pStyle w:val="Heading3"/>
        <w:spacing w:after="80" w:before="180"/>
      </w:pPr>
      <w:r>
        <w:rPr>
          <w:rFonts w:ascii="Calibri" w:cs="Calibri" w:eastAsia="Calibri" w:hAnsi="Calibri"/>
          <w:b/>
          <w:bCs/>
          <w:color w:val="0B2545"/>
          <w:sz w:val="22"/>
          <w:szCs w:val="22"/>
        </w:rPr>
        <w:t xml:space="preserve">Subject</w:t>
      </w:r>
    </w:p>
    <w:p>
      <w:pPr>
        <w:spacing w:after="120"/>
        <w:jc w:val="left"/>
      </w:pPr>
      <w:r>
        <w:rPr>
          <w:rFonts w:ascii="Calibri" w:cs="Calibri" w:eastAsia="Calibri" w:hAnsi="Calibri"/>
          <w:b/>
          <w:bCs/>
          <w:sz w:val="22"/>
          <w:szCs w:val="22"/>
        </w:rPr>
        <w:t xml:space="preserve">Subject: Key Account Director escalation — cumulative dispute value across the cycle &gt; Rs 2 lakh — Disbursement ID [SETTLEMENT REFERENCE]</w:t>
      </w:r>
    </w:p>
    <w:p>
      <w:pPr>
        <w:spacing w:after="120"/>
        <w:jc w:val="left"/>
      </w:pPr>
      <w:r>
        <w:rPr>
          <w:rFonts w:ascii="Calibri" w:cs="Calibri" w:eastAsia="Calibri" w:hAnsi="Calibri"/>
          <w:sz w:val="22"/>
          <w:szCs w:val="22"/>
        </w:rPr>
        <w:t xml:space="preserve">Dear Director,</w:t>
      </w:r>
    </w:p>
    <w:p>
      <w:pPr>
        <w:spacing w:after="120"/>
        <w:jc w:val="left"/>
      </w:pPr>
      <w:r>
        <w:rPr>
          <w:rFonts w:ascii="Calibri" w:cs="Calibri" w:eastAsia="Calibri" w:hAnsi="Calibri"/>
          <w:sz w:val="22"/>
          <w:szCs w:val="22"/>
        </w:rPr>
        <w:t xml:space="preserve">This escalation is invoked because the cumulative unresolved dispute value across the current settlement cycle for Seller ID [SELLER ID] has exceeded Rs 2 lakh, the Level 3 Amazon SPN grievance officer has not resolved within seven days of escalation, and the 7-day dispute window on Disbursement ID [SETTLEMENT REFERENCE] closes on [DISPUTE WINDOW CLOSE DATE].</w:t>
      </w:r>
    </w:p>
    <w:p>
      <w:pPr>
        <w:spacing w:after="120"/>
        <w:jc w:val="left"/>
      </w:pPr>
      <w:r>
        <w:rPr>
          <w:rFonts w:ascii="Calibri" w:cs="Calibri" w:eastAsia="Calibri" w:hAnsi="Calibri"/>
          <w:sz w:val="22"/>
          <w:szCs w:val="22"/>
        </w:rPr>
        <w:t xml:space="preserve">The single largest disputed line is Rs [DISPUTE AMOUNT Rs] against [DISPUTE CATEGORY] on ASIN [ASIN]. The cumulative unresolved amount is Rs [CUMULATIVE UNRESOLVED AMOUNT] across [NUMBER OF DISPUTES] disputes. The full escalation trail — Seller Support case, Amazon Services Network escalation, SPN grievance officer complaint — is attached.</w:t>
      </w:r>
    </w:p>
    <w:p>
      <w:pPr>
        <w:spacing w:after="120"/>
        <w:jc w:val="left"/>
      </w:pPr>
      <w:r>
        <w:rPr>
          <w:rFonts w:ascii="Calibri" w:cs="Calibri" w:eastAsia="Calibri" w:hAnsi="Calibri"/>
          <w:sz w:val="22"/>
          <w:szCs w:val="22"/>
        </w:rPr>
        <w:t xml:space="preserve">We request a written resolution and the corrected disbursement by [FINAL DEADLINE DATE], failing which the case will be filed as a formal grievance officer complaint under Rule 5 of the Consumer Protection (E-Commerce) Rules 2020 with a copy to the consumer commission with appropriate jurisdiction.</w:t>
      </w:r>
    </w:p>
    <w:p>
      <w:pPr>
        <w:spacing w:after="120"/>
        <w:jc w:val="left"/>
      </w:pPr>
      <w:r>
        <w:rPr>
          <w:rFonts w:ascii="Calibri" w:cs="Calibri" w:eastAsia="Calibri" w:hAnsi="Calibri"/>
          <w:sz w:val="22"/>
          <w:szCs w:val="22"/>
        </w:rPr>
        <w:t xml:space="preserve">Regards,</w:t>
      </w:r>
    </w:p>
    <w:p>
      <w:pPr>
        <w:spacing w:after="120"/>
        <w:jc w:val="left"/>
      </w:pPr>
      <w:r>
        <w:rPr>
          <w:rFonts w:ascii="Calibri" w:cs="Calibri" w:eastAsia="Calibri" w:hAnsi="Calibri"/>
          <w:b/>
          <w:bCs/>
          <w:sz w:val="22"/>
          <w:szCs w:val="22"/>
        </w:rPr>
        <w:t xml:space="preserve">[FINANCE CONTACT NAME], [DESIGNATION]</w:t>
      </w:r>
    </w:p>
    <w:p>
      <w:pPr>
        <w:spacing w:after="120"/>
        <w:jc w:val="left"/>
      </w:pPr>
      <w:r>
        <w:rPr>
          <w:rFonts w:ascii="Calibri" w:cs="Calibri" w:eastAsia="Calibri" w:hAnsi="Calibri"/>
          <w:sz w:val="22"/>
          <w:szCs w:val="22"/>
        </w:rPr>
        <w:t xml:space="preserve">[MERCHANT COMPANY NAME]  |  GSTIN [MERCHANT GSTIN]</w:t>
      </w:r>
    </w:p>
    <w:p>
      <w:pPr>
        <w:pStyle w:val="Heading2"/>
        <w:spacing w:after="100" w:before="240"/>
      </w:pPr>
      <w:r>
        <w:rPr>
          <w:rFonts w:ascii="Calibri" w:cs="Calibri" w:eastAsia="Calibri" w:hAnsi="Calibri"/>
          <w:b/>
          <w:bCs/>
          <w:color w:val="0B2545"/>
          <w:sz w:val="24"/>
          <w:szCs w:val="24"/>
        </w:rPr>
        <w:t xml:space="preserve">Signature block (dispatch copy)</w:t>
      </w:r>
    </w:p>
    <w:p>
      <w:pPr>
        <w:spacing w:after="120"/>
        <w:jc w:val="left"/>
      </w:pPr>
      <w:r>
        <w:rPr>
          <w:rFonts w:ascii="Calibri" w:cs="Calibri" w:eastAsia="Calibri" w:hAnsi="Calibri"/>
          <w:sz w:val="22"/>
          <w:szCs w:val="22"/>
        </w:rPr>
        <w:t xml:space="preserve"/>
      </w:r>
    </w:p>
    <w:p>
      <w:pPr>
        <w:spacing w:after="120"/>
        <w:jc w:val="left"/>
      </w:pPr>
      <w:r>
        <w:rPr>
          <w:rFonts w:ascii="Calibri" w:cs="Calibri" w:eastAsia="Calibri" w:hAnsi="Calibri"/>
          <w:sz w:val="22"/>
          <w:szCs w:val="22"/>
        </w:rPr>
        <w:t xml:space="preserve">Yours sincerely,</w:t>
      </w:r>
    </w:p>
    <w:p>
      <w:pPr>
        <w:spacing w:after="120"/>
        <w:jc w:val="left"/>
      </w:pPr>
      <w:r>
        <w:rPr>
          <w:rFonts w:ascii="Calibri" w:cs="Calibri" w:eastAsia="Calibri" w:hAnsi="Calibri"/>
          <w:sz w:val="22"/>
          <w:szCs w:val="22"/>
        </w:rPr>
        <w:t xml:space="preserve"/>
      </w:r>
    </w:p>
    <w:p>
      <w:pPr>
        <w:spacing w:after="120"/>
        <w:jc w:val="left"/>
      </w:pPr>
      <w:r>
        <w:rPr>
          <w:rFonts w:ascii="Calibri" w:cs="Calibri" w:eastAsia="Calibri" w:hAnsi="Calibri"/>
          <w:sz w:val="22"/>
          <w:szCs w:val="22"/>
        </w:rPr>
        <w:t xml:space="preserve"/>
      </w:r>
    </w:p>
    <w:p>
      <w:pPr>
        <w:spacing w:after="120"/>
        <w:jc w:val="left"/>
      </w:pPr>
      <w:r>
        <w:rPr>
          <w:rFonts w:ascii="Calibri" w:cs="Calibri" w:eastAsia="Calibri" w:hAnsi="Calibri"/>
          <w:b/>
          <w:bCs/>
          <w:sz w:val="22"/>
          <w:szCs w:val="22"/>
        </w:rPr>
        <w:t xml:space="preserve">[SIGNATURE]</w:t>
      </w:r>
    </w:p>
    <w:p>
      <w:pPr>
        <w:spacing w:after="120"/>
        <w:jc w:val="left"/>
      </w:pPr>
      <w:r>
        <w:rPr>
          <w:rFonts w:ascii="Calibri" w:cs="Calibri" w:eastAsia="Calibri" w:hAnsi="Calibri"/>
          <w:sz w:val="22"/>
          <w:szCs w:val="22"/>
        </w:rPr>
        <w:t xml:space="preserve">[FINANCE CONTACT NAME]</w:t>
      </w:r>
    </w:p>
    <w:p>
      <w:pPr>
        <w:spacing w:after="120"/>
        <w:jc w:val="left"/>
      </w:pPr>
      <w:r>
        <w:rPr>
          <w:rFonts w:ascii="Calibri" w:cs="Calibri" w:eastAsia="Calibri" w:hAnsi="Calibri"/>
          <w:sz w:val="22"/>
          <w:szCs w:val="22"/>
        </w:rPr>
        <w:t xml:space="preserve">[DESIGNATION], [MERCHANT COMPANY NAME]</w:t>
      </w:r>
    </w:p>
    <w:p>
      <w:pPr>
        <w:spacing w:after="120"/>
        <w:jc w:val="left"/>
      </w:pPr>
      <w:r>
        <w:rPr>
          <w:rFonts w:ascii="Calibri" w:cs="Calibri" w:eastAsia="Calibri" w:hAnsi="Calibri"/>
          <w:sz w:val="22"/>
          <w:szCs w:val="22"/>
        </w:rPr>
        <w:t xml:space="preserve">For and on behalf of [MERCHANT LEGAL ENTITY]</w:t>
      </w:r>
    </w:p>
    <w:p>
      <w:pPr>
        <w:spacing w:after="120"/>
        <w:jc w:val="left"/>
      </w:pPr>
      <w:r>
        <w:rPr>
          <w:rFonts w:ascii="Calibri" w:cs="Calibri" w:eastAsia="Calibri" w:hAnsi="Calibri"/>
          <w:sz w:val="22"/>
          <w:szCs w:val="22"/>
        </w:rPr>
        <w:t xml:space="preserve"/>
      </w:r>
    </w:p>
    <w:p>
      <w:pPr>
        <w:spacing w:after="120"/>
        <w:jc w:val="left"/>
      </w:pPr>
      <w:r>
        <w:rPr>
          <w:rFonts w:ascii="Calibri" w:cs="Calibri" w:eastAsia="Calibri" w:hAnsi="Calibri"/>
          <w:b/>
          <w:bCs/>
          <w:color w:val="0B2545"/>
          <w:sz w:val="22"/>
          <w:szCs w:val="22"/>
        </w:rPr>
        <w:t xml:space="preserve">Enclosures:</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Settlement report / payout statement for the disputed period</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Order-level or reservation-level extract with the variance decomposition</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Ticket / case log correspondence trail (Level 1, Level 2, Level 3 as applicable)</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Prior escalation acknowledgements and reference numbers</w:t>
      </w:r>
    </w:p>
    <w:p>
      <w:pPr>
        <w:pStyle w:val="Heading2"/>
        <w:spacing w:after="100" w:before="240"/>
      </w:pPr>
      <w:r>
        <w:rPr>
          <w:rFonts w:ascii="Calibri" w:cs="Calibri" w:eastAsia="Calibri" w:hAnsi="Calibri"/>
          <w:b/>
          <w:bCs/>
          <w:color w:val="0B2545"/>
          <w:sz w:val="24"/>
          <w:szCs w:val="24"/>
        </w:rPr>
        <w:t xml:space="preserve">Customise before sending</w:t>
      </w:r>
    </w:p>
    <w:p>
      <w:pPr>
        <w:spacing w:after="120"/>
        <w:jc w:val="left"/>
      </w:pPr>
      <w:r>
        <w:rPr>
          <w:rFonts w:ascii="Calibri" w:cs="Calibri" w:eastAsia="Calibri" w:hAnsi="Calibri"/>
          <w:sz w:val="22"/>
          <w:szCs w:val="22"/>
        </w:rPr>
        <w:t xml:space="preserve">Replace [SETTLEMENT REFERENCE], [SELLER NAME], [SELLER ID], [MERCHANT GSTIN], [SETTLEMENT PERIOD END DATE], [SETTLEMENT DATE], [DISPUTE AMOUNT Rs], [DISPUTE CATEGORY], [ASIN], [STORAGE CYCLE END DATE], [REMOVAL DATE], [ASSESSMENT DATE], [ACCOUNT MANAGER NAME] (if the seller is on the Strategic Account or Growth programme), [TICKET REFERENCE], [ESCALATION REFERENCE], [COMPLAINT REFERENCE], [DISPUTE WINDOW CLOSE DATE], every [DAY NUMBER] countdown, and every illustrative rupee figure before dispatch. The FBA long-term storage fee scenario is illustrative — the same body applies to a commission-variance-by-category dispute or a Section 194O MDR-inclusive base dispute with the specific paragraph adjusted. Amazon has the tightest window of the four platforms in this pack; never delay past Day 3 for the initial dispatch.</w:t>
      </w:r>
    </w:p>
    <w:p>
      <w:pPr>
        <w:pStyle w:val="Heading2"/>
        <w:spacing w:after="100" w:before="240"/>
      </w:pPr>
      <w:r>
        <w:rPr>
          <w:rFonts w:ascii="Calibri" w:cs="Calibri" w:eastAsia="Calibri" w:hAnsi="Calibri"/>
          <w:b/>
          <w:bCs/>
          <w:color w:val="0B2545"/>
          <w:sz w:val="24"/>
          <w:szCs w:val="24"/>
        </w:rPr>
        <w:t xml:space="preserve">Cross-reference</w:t>
      </w:r>
    </w:p>
    <w:p>
      <w:pPr>
        <w:spacing w:after="120"/>
        <w:jc w:val="left"/>
      </w:pPr>
      <w:r>
        <w:rPr>
          <w:rFonts w:ascii="Calibri" w:cs="Calibri" w:eastAsia="Calibri" w:hAnsi="Calibri"/>
          <w:sz w:val="22"/>
          <w:szCs w:val="22"/>
        </w:rPr>
        <w:t xml:space="preserve">This letter template is Brief 14 of the Terra Insight Reconciliation Playbook. It is designed to sit alongside the Day 4 platform settlement decomposition workbook (Brief 8) that catches the FBA and commission variance, and the bank reconciliation runbook (Brief 1) that traces the actual disbursement to the merchant bank account.</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BD5E0" w:sz="6" w:space="1"/>
      </w:pBdr>
      <w:spacing w:before="40"/>
    </w:pPr>
    <w:r>
      <w:rPr>
        <w:rFonts w:ascii="Calibri" w:cs="Calibri" w:eastAsia="Calibri" w:hAnsi="Calibri"/>
        <w:sz w:val="2"/>
        <w:szCs w:val="2"/>
      </w:rPr>
      <w:t xml:space="preserve"/>
    </w:r>
  </w:p>
  <w:p>
    <w:pPr>
      <w:jc w:val="left"/>
    </w:pPr>
    <w:r>
      <w:rPr>
        <w:rFonts w:ascii="Calibri" w:cs="Calibri" w:eastAsia="Calibri" w:hAnsi="Calibri"/>
        <w:i/>
        <w:iCs/>
        <w:color w:val="4A5568"/>
        <w:sz w:val="16"/>
        <w:szCs w:val="16"/>
      </w:rPr>
      <w:t xml:space="preserve">Illustrative template — customise before sending. </w:t>
    </w:r>
    <w:r>
      <w:rPr>
        <w:rFonts w:ascii="Calibri" w:cs="Calibri" w:eastAsia="Calibri" w:hAnsi="Calibri"/>
        <w:color w:val="4A5568"/>
        <w:sz w:val="16"/>
        <w:szCs w:val="16"/>
      </w:rPr>
      <w:t xml:space="preserve">Terra Insight Editorial Team  |  Version 1.0  |  2026-08-06</w:t>
    </w:r>
    <w:r>
      <w:rPr>
        <w:rFonts w:ascii="Calibri" w:cs="Calibri" w:eastAsia="Calibri" w:hAnsi="Calibri"/>
        <w:color w:val="4A5568"/>
        <w:sz w:val="16"/>
        <w:szCs w:val="16"/>
      </w:rPr>
      <w:t xml:space="preserve">   ·  Page </w:t>
    </w:r>
    <w:r>
      <w:rPr>
        <w:rFonts w:ascii="Calibri" w:cs="Calibri" w:eastAsia="Calibri" w:hAnsi="Calibri"/>
        <w:color w:val="4A5568"/>
        <w:sz w:val="16"/>
        <w:szCs w:val="16"/>
      </w:rPr>
      <w:fldChar w:fldCharType="begin"/>
      <w:instrText xml:space="preserve">PAGE</w:instrText>
      <w:fldChar w:fldCharType="separate"/>
      <w:fldChar w:fldCharType="end"/>
    </w:r>
    <w:r>
      <w:rPr>
        <w:rFonts w:ascii="Calibri" w:cs="Calibri" w:eastAsia="Calibri" w:hAnsi="Calibri"/>
        <w:color w:val="4A5568"/>
        <w:sz w:val="16"/>
        <w:szCs w:val="16"/>
      </w:rPr>
      <w:t xml:space="preserve"> of </w:t>
    </w:r>
    <w:r>
      <w:rPr>
        <w:rFonts w:ascii="Calibri" w:cs="Calibri" w:eastAsia="Calibri" w:hAnsi="Calibri"/>
        <w:color w:val="4A5568"/>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40"/>
      <w:jc w:val="left"/>
    </w:pPr>
    <w:r>
      <w:rPr>
        <w:rFonts w:ascii="Calibri" w:cs="Calibri" w:eastAsia="Calibri" w:hAnsi="Calibri"/>
        <w:b/>
        <w:bCs/>
        <w:color w:val="0B2545"/>
        <w:sz w:val="22"/>
        <w:szCs w:val="22"/>
      </w:rPr>
      <w:t xml:space="preserve">Terra Insight</w:t>
    </w:r>
    <w:r>
      <w:rPr>
        <w:rFonts w:ascii="Calibri" w:cs="Calibri" w:eastAsia="Calibri" w:hAnsi="Calibri"/>
        <w:color w:val="4A5568"/>
        <w:sz w:val="18"/>
        <w:szCs w:val="18"/>
      </w:rPr>
      <w:t xml:space="preserve">  |  Aggregator Settlement Dispute Letter Pack</w:t>
    </w:r>
  </w:p>
  <w:p>
    <w:pPr>
      <w:pBdr>
        <w:bottom w:val="single" w:color="CBD5E0" w:sz="6" w:space="1"/>
      </w:pBdr>
      <w:spacing w:after="120"/>
    </w:pPr>
    <w:r>
      <w:rPr>
        <w:rFonts w:ascii="Calibri" w:cs="Calibri" w:eastAsia="Calibri" w:hAnsi="Calibri"/>
        <w:sz w:val="2"/>
        <w:szCs w:val="2"/>
      </w:rPr>
      <w:t xml:space="preserv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Amazon Seller Central Settlement Dispute Letter (Highest Urgency)</dc:title>
  <dc:creator>Terra Insight Editorial Team</dc:creator>
  <dc:description>Amazon Seller Central settlement dispute letter template — Terra Insight Editorial Team.</dc:description>
  <cp:lastModifiedBy>Un-named</cp:lastModifiedBy>
  <cp:revision>1</cp:revision>
  <dcterms:created xsi:type="dcterms:W3CDTF">2026-08-16T05:22:44.870Z</dcterms:created>
  <dcterms:modified xsi:type="dcterms:W3CDTF">2026-08-16T05:22:44.870Z</dcterms:modified>
</cp:coreProperties>
</file>

<file path=docProps/custom.xml><?xml version="1.0" encoding="utf-8"?>
<Properties xmlns="http://schemas.openxmlformats.org/officeDocument/2006/custom-properties" xmlns:vt="http://schemas.openxmlformats.org/officeDocument/2006/docPropsVTypes"/>
</file>