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left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Swiggy Partner App</w:t>
      </w:r>
    </w:p>
    <w:p>
      <w:pPr>
        <w:spacing w:after="160"/>
      </w:pPr>
      <w:r>
        <w:rPr>
          <w:rFonts w:ascii="Calibri" w:cs="Calibri" w:eastAsia="Calibri" w:hAnsi="Calibri"/>
          <w:b/>
          <w:bCs/>
          <w:color w:val="0B2545"/>
          <w:sz w:val="36"/>
          <w:szCs w:val="36"/>
        </w:rPr>
        <w:t xml:space="preserve">Swiggy Partner Settlement Dispute Letter</w:t>
      </w:r>
    </w:p>
    <w:p>
      <w:pPr>
        <w:pBdr>
          <w:bottom w:val="single" w:color="CBD5E0" w:sz="6" w:space="1"/>
        </w:pBdr>
        <w:spacing w:after="200"/>
      </w:pPr>
      <w:r>
        <w:rPr>
          <w:rFonts w:ascii="Calibri" w:cs="Calibri" w:eastAsia="Calibri" w:hAnsi="Calibri"/>
          <w:sz w:val="2"/>
          <w:szCs w:val="2"/>
        </w:rPr>
        <w:t xml:space="preserve"/>
      </w:r>
    </w:p>
    <w:tbl>
      <w:tblPr>
        <w:tblW w:type="dxa" w:w="96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400"/>
      </w:tblGrid>
      <w:tr>
        <w:trPr>
          <w:tblHeader w:val="false"/>
        </w:trPr>
        <w:tc>
          <w:tcPr>
            <w:tcW w:type="dxa" w:w="3200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111827"/>
                <w:sz w:val="22"/>
                <w:szCs w:val="22"/>
              </w:rPr>
              <w:t xml:space="preserve">Platform</w:t>
            </w:r>
          </w:p>
        </w:tc>
        <w:tc>
          <w:tcPr>
            <w:tcW w:type="dxa" w:w="6400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111827"/>
                <w:sz w:val="22"/>
                <w:szCs w:val="22"/>
              </w:rPr>
              <w:t xml:space="preserve">Swiggy — Partner App</w:t>
            </w:r>
          </w:p>
        </w:tc>
      </w:tr>
      <w:tr>
        <w:trPr>
          <w:tblHeader w:val="false"/>
        </w:trPr>
        <w:tc>
          <w:tcPr>
            <w:tcW w:type="dxa" w:w="3200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111827"/>
                <w:sz w:val="22"/>
                <w:szCs w:val="22"/>
              </w:rPr>
              <w:t xml:space="preserve">Dispute window</w:t>
            </w:r>
          </w:p>
        </w:tc>
        <w:tc>
          <w:tcPr>
            <w:tcW w:type="dxa" w:w="6400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111827"/>
                <w:sz w:val="22"/>
                <w:szCs w:val="22"/>
              </w:rPr>
              <w:t xml:space="preserve">21 days from settlement date</w:t>
            </w:r>
          </w:p>
        </w:tc>
      </w:tr>
      <w:tr>
        <w:trPr>
          <w:tblHeader w:val="false"/>
        </w:trPr>
        <w:tc>
          <w:tcPr>
            <w:tcW w:type="dxa" w:w="3200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111827"/>
                <w:sz w:val="22"/>
                <w:szCs w:val="22"/>
              </w:rPr>
              <w:t xml:space="preserve">Dispatch discipline</w:t>
            </w:r>
          </w:p>
        </w:tc>
        <w:tc>
          <w:tcPr>
            <w:tcW w:type="dxa" w:w="6400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111827"/>
                <w:sz w:val="22"/>
                <w:szCs w:val="22"/>
              </w:rPr>
              <w:t xml:space="preserve">Dispatch Level 1 by Day 8; escalate to Level 2 by Day 14; Level 3 by Day 17; Level 4 by Day 20.</w:t>
            </w:r>
          </w:p>
        </w:tc>
      </w:tr>
      <w:tr>
        <w:trPr>
          <w:tblHeader w:val="false"/>
        </w:trPr>
        <w:tc>
          <w:tcPr>
            <w:tcW w:type="dxa" w:w="3200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111827"/>
                <w:sz w:val="22"/>
                <w:szCs w:val="22"/>
              </w:rPr>
              <w:t xml:space="preserve">Portal path</w:t>
            </w:r>
          </w:p>
        </w:tc>
        <w:tc>
          <w:tcPr>
            <w:tcW w:type="dxa" w:w="6400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111827"/>
                <w:sz w:val="22"/>
                <w:szCs w:val="22"/>
              </w:rPr>
              <w:t xml:space="preserve">Swiggy Partner App → Merchant Payout Statement → Raise Dispute</w:t>
            </w:r>
          </w:p>
        </w:tc>
      </w:tr>
      <w:tr>
        <w:trPr>
          <w:tblHeader w:val="false"/>
        </w:trPr>
        <w:tc>
          <w:tcPr>
            <w:tcW w:type="dxa" w:w="3200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111827"/>
                <w:sz w:val="22"/>
                <w:szCs w:val="22"/>
              </w:rPr>
              <w:t xml:space="preserve">Statutory anchors</w:t>
            </w:r>
          </w:p>
        </w:tc>
        <w:tc>
          <w:tcPr>
            <w:tcW w:type="dxa" w:w="6400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111827"/>
                <w:sz w:val="22"/>
                <w:szCs w:val="22"/>
              </w:rPr>
              <w:t xml:space="preserve">Section 194O, Income-tax Act 1961; Section 52, CGST Act 2017; Rule 46, CGST Rules 2017; Rule 5, Consumer Protection (E-Commerce) Rules 2020; Payment and Settlement Systems Act 2007 + RBI Master Direction on Payment Aggregators and Payment Gateways (3-day SLA for mis-collected amounts)</w:t>
            </w:r>
          </w:p>
        </w:tc>
      </w:tr>
      <w:tr>
        <w:trPr>
          <w:tblHeader w:val="false"/>
        </w:trPr>
        <w:tc>
          <w:tcPr>
            <w:tcW w:type="dxa" w:w="3200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111827"/>
                <w:sz w:val="22"/>
                <w:szCs w:val="22"/>
              </w:rPr>
              <w:t xml:space="preserve">Escalation ladder</w:t>
            </w:r>
          </w:p>
        </w:tc>
        <w:tc>
          <w:tcPr>
            <w:tcW w:type="dxa" w:w="6400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color w:val="111827"/>
                <w:sz w:val="22"/>
                <w:szCs w:val="22"/>
              </w:rPr>
              <w:t xml:space="preserve">Level 1 POC → Level 2 SPOC → Level 3 Operations Manager (Rule 5) → Level 4 Key Account Director</w:t>
            </w:r>
          </w:p>
        </w:tc>
      </w:tr>
    </w:tbl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tbl>
      <w:tblPr>
        <w:tblW w:type="dxa" w:w="96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00"/>
      </w:tblGrid>
      <w:tr>
        <w:tc>
          <w:tcPr>
            <w:tcW w:type="dxa" w:w="9600"/>
            <w:tcBorders>
              <w:top w:val="single" w:color="F59E0B" w:sz="4"/>
              <w:left w:val="single" w:color="F59E0B" w:sz="4"/>
              <w:bottom w:val="single" w:color="F59E0B" w:sz="4"/>
              <w:right w:val="single" w:color="F59E0B" w:sz="4"/>
            </w:tcBorders>
            <w:shd w:fill="FFF4E5" w:color="auto" w:val="clear"/>
            <w:tcMar>
              <w:top w:type="dxa" w:w="160"/>
              <w:left w:type="dxa" w:w="180"/>
              <w:bottom w:type="dxa" w:w="160"/>
              <w:right w:type="dxa" w:w="180"/>
            </w:tcMar>
          </w:tcPr>
          <w:p>
            <w:pPr>
              <w:spacing w:after="40"/>
            </w:pPr>
            <w:r>
              <w:rPr>
                <w:rFonts w:ascii="Calibri" w:cs="Calibri" w:eastAsia="Calibri" w:hAnsi="Calibri"/>
                <w:b/>
                <w:bCs/>
                <w:color w:val="92400E"/>
                <w:sz w:val="22"/>
                <w:szCs w:val="22"/>
              </w:rPr>
              <w:t xml:space="preserve">Customise every letter before sending.</w:t>
            </w:r>
          </w:p>
          <w:p>
            <w:r>
              <w:rPr>
                <w:rFonts w:ascii="Calibri" w:cs="Calibri" w:eastAsia="Calibri" w:hAnsi="Calibri"/>
                <w:color w:val="92400E"/>
                <w:sz w:val="20"/>
                <w:szCs w:val="20"/>
              </w:rPr>
              <w:t xml:space="preserve">This is a template. Every [SQUARE BRACKET] is a placeholder and every rupee figure is illustrative. Replace all merchant identifiers, settlement references, ticket references, escalation references, and disputed amounts against your own Day 4 platform settlement decomposition workbook and the platform’s payout statement before dispatch.</w:t>
            </w:r>
          </w:p>
        </w:tc>
      </w:tr>
    </w:tbl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pStyle w:val="Heading2"/>
        <w:spacing w:after="100" w:before="240"/>
      </w:pPr>
      <w:r>
        <w:rPr>
          <w:rFonts w:ascii="Calibri" w:cs="Calibri" w:eastAsia="Calibri" w:hAnsi="Calibri"/>
          <w:b/>
          <w:bCs/>
          <w:color w:val="0B2545"/>
          <w:sz w:val="24"/>
          <w:szCs w:val="24"/>
        </w:rPr>
        <w:t xml:space="preserve">Common variance categories the letter addresses</w:t>
      </w:r>
    </w:p>
    <w:p>
      <w:pPr>
        <w:spacing w:after="60"/>
        <w:ind w:left="360" w:hanging="22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Commission-TCS-TDS split discrepancy — collection fee and platform fee treated inconsistently between the operator’s tax filing and the merchant’s Day 4 decomposition.</w:t>
      </w:r>
    </w:p>
    <w:p>
      <w:pPr>
        <w:spacing w:after="60"/>
        <w:ind w:left="360" w:hanging="22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Settlement lag beyond the 7-day platform SLA — payout landing outside the merchant-agreement settlement cycle without a documented reason; where the settlement flows via a licensed payment aggregator, the RBI 3-working-day SLA for a mis-collected amount to be refunded to escrow applies.</w:t>
      </w:r>
    </w:p>
    <w:p>
      <w:pPr>
        <w:spacing w:after="60"/>
        <w:ind w:left="360" w:hanging="22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Platform fee variance — new or revised platform fee applied without prior written notice or contractual basis, or applied at a rate above the merchant’s current commercial arrangement.</w:t>
      </w:r>
    </w:p>
    <w:p>
      <w:pPr>
        <w:spacing w:after="60"/>
        <w:ind w:left="360" w:hanging="22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Section 194O TDS on gross including customer packaging fees — 1% TDS deducted on a base that includes packaging fees the merchant did not book to revenue, accumulating to a material excess across the month’s order volume.</w:t>
      </w:r>
    </w:p>
    <w:p>
      <w:pPr>
        <w:pStyle w:val="Heading2"/>
        <w:spacing w:after="100" w:before="240"/>
      </w:pPr>
      <w:r>
        <w:rPr>
          <w:rFonts w:ascii="Calibri" w:cs="Calibri" w:eastAsia="Calibri" w:hAnsi="Calibri"/>
          <w:b/>
          <w:bCs/>
          <w:color w:val="0B2545"/>
          <w:sz w:val="24"/>
          <w:szCs w:val="24"/>
        </w:rPr>
        <w:t xml:space="preserve">Merchant details (fill in once, reuse)</w:t>
      </w:r>
    </w:p>
    <w:p>
      <w:pPr>
        <w:spacing w:after="4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From:</w:t>
      </w:r>
      <w:r>
        <w:rPr>
          <w:rFonts w:ascii="Calibri" w:cs="Calibri" w:eastAsia="Calibri" w:hAnsi="Calibri"/>
          <w:sz w:val="22"/>
          <w:szCs w:val="22"/>
        </w:rPr>
        <w:t xml:space="preserve">  [MERCHANT COMPANY NAME] — [MERCHANT LEGAL ENTITY]</w:t>
      </w:r>
    </w:p>
    <w:p>
      <w:pPr>
        <w:spacing w:after="4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GSTIN:</w:t>
      </w:r>
      <w:r>
        <w:rPr>
          <w:rFonts w:ascii="Calibri" w:cs="Calibri" w:eastAsia="Calibri" w:hAnsi="Calibri"/>
          <w:sz w:val="22"/>
          <w:szCs w:val="22"/>
        </w:rPr>
        <w:t xml:space="preserve">  [MERCHANT GSTIN]</w:t>
      </w:r>
    </w:p>
    <w:p>
      <w:pPr>
        <w:spacing w:after="4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PAN:</w:t>
      </w:r>
      <w:r>
        <w:rPr>
          <w:rFonts w:ascii="Calibri" w:cs="Calibri" w:eastAsia="Calibri" w:hAnsi="Calibri"/>
          <w:sz w:val="22"/>
          <w:szCs w:val="22"/>
        </w:rPr>
        <w:t xml:space="preserve">  [MERCHANT PAN]</w:t>
      </w:r>
    </w:p>
    <w:p>
      <w:pPr>
        <w:spacing w:after="4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Registered address:</w:t>
      </w:r>
      <w:r>
        <w:rPr>
          <w:rFonts w:ascii="Calibri" w:cs="Calibri" w:eastAsia="Calibri" w:hAnsi="Calibri"/>
          <w:sz w:val="22"/>
          <w:szCs w:val="22"/>
        </w:rPr>
        <w:t xml:space="preserve">  [MERCHANT ADDRESS LINE 1], [CITY], [STATE], [PIN]</w:t>
      </w:r>
    </w:p>
    <w:p>
      <w:pPr>
        <w:spacing w:after="4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Contact:</w:t>
      </w:r>
      <w:r>
        <w:rPr>
          <w:rFonts w:ascii="Calibri" w:cs="Calibri" w:eastAsia="Calibri" w:hAnsi="Calibri"/>
          <w:sz w:val="22"/>
          <w:szCs w:val="22"/>
        </w:rPr>
        <w:t xml:space="preserve">  [FINANCE CONTACT NAME], [DESIGNATION], [PHONE], [EMAIL]</w:t>
      </w:r>
    </w:p>
    <w:p>
      <w:pPr>
        <w:spacing w:after="4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Date:</w:t>
      </w:r>
      <w:r>
        <w:rPr>
          <w:rFonts w:ascii="Calibri" w:cs="Calibri" w:eastAsia="Calibri" w:hAnsi="Calibri"/>
          <w:sz w:val="22"/>
          <w:szCs w:val="22"/>
        </w:rPr>
        <w:t xml:space="preserve">  [DISPATCH DATE — DD MMM YYYY]</w:t>
      </w:r>
    </w:p>
    <w:p>
      <w:pPr>
        <w:pStyle w:val="Heading2"/>
        <w:spacing w:after="100" w:before="240"/>
      </w:pPr>
      <w:r>
        <w:rPr>
          <w:rFonts w:ascii="Calibri" w:cs="Calibri" w:eastAsia="Calibri" w:hAnsi="Calibri"/>
          <w:b/>
          <w:bCs/>
          <w:color w:val="0B2545"/>
          <w:sz w:val="24"/>
          <w:szCs w:val="24"/>
        </w:rPr>
        <w:t xml:space="preserve">Level 1 — Portal Support Officer (POC) — Partner App dispute ticket</w:t>
      </w:r>
    </w:p>
    <w:p>
      <w:pPr>
        <w:pStyle w:val="Heading3"/>
        <w:spacing w:after="80" w:before="18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Addressee</w:t>
      </w:r>
    </w:p>
    <w:p>
      <w:pPr>
        <w:spacing w:after="4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To:</w:t>
      </w:r>
      <w:r>
        <w:rPr>
          <w:rFonts w:ascii="Calibri" w:cs="Calibri" w:eastAsia="Calibri" w:hAnsi="Calibri"/>
          <w:sz w:val="22"/>
          <w:szCs w:val="22"/>
        </w:rPr>
        <w:t xml:space="preserve">  Swiggy Partner Support — Merchant Payout Team</w:t>
      </w:r>
    </w:p>
    <w:p>
      <w:pPr>
        <w:spacing w:after="4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Via:</w:t>
      </w:r>
      <w:r>
        <w:rPr>
          <w:rFonts w:ascii="Calibri" w:cs="Calibri" w:eastAsia="Calibri" w:hAnsi="Calibri"/>
          <w:sz w:val="22"/>
          <w:szCs w:val="22"/>
        </w:rPr>
        <w:t xml:space="preserve">  Swiggy Partner App → Merchant Payout Statement → Raise Dispute</w:t>
      </w:r>
    </w:p>
    <w:p>
      <w:pPr>
        <w:pStyle w:val="Heading3"/>
        <w:spacing w:after="80" w:before="18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Subject</w:t>
      </w:r>
    </w:p>
    <w:p>
      <w:pPr>
        <w:spacing w:after="120"/>
        <w:jc w:val="lef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Subject: Dispute on Merchant Payout Statement — Payout ID [SETTLEMENT REFERENCE] — Restaurant [RESTAURANT NAME] GSTIN [MERCHANT GSTIN]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Dear Partner Support Team,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This is Day [DAY NUMBER] of 21 in the Swiggy Partner App dispute window for Payout ID [SETTLEMENT REFERENCE], received on [SETTLEMENT DATE] for the settlement period ending [SETTLEMENT PERIOD END DATE].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We are raising a dispute against the Merchant Payout Statement for the settlement period ending [SETTLEMENT PERIOD END DATE]. Our Day 4 decomposition against the order log for the period computes an expected net payout of Rs [EXPECTED PAYOUT AMOUNT] (illustrative: Rs 5,62,000). The actual credit was Rs [ACTUAL CREDIT AMOUNT] (illustrative: Rs 5,08,400). The variance of Rs [DISPUTE AMOUNT Rs] (illustrative: Rs 53,600) has been traced to a [DISPUTE CATEGORY — e.g., Section 194O TDS on an order-value base that included customer packaging fees].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The illustrative decomposition of the disputed base is Rs 8 per order across [NUMBER OF ORDERS] orders (illustratively 1,340 orders) = Rs 10,720 additional base per settlement cycle, on which Section 194O has been applied at 1 per cent. This packaging fee is a separately identifiable head under the merchant’s own supply invoice structure and is not part of the merchant’s gross sale for which the platform is the operator under Section 194O.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The order-level extract with the TDS base per order is attached. Where the settlement lag itself exceeds the platform’s published 7-day SLA and the settlement flows via a licensed payment aggregator, the RBI Master Direction on Payment Aggregators and Payment Gateways requires the mis-collected amount to be refunded to the merchant escrow within three working days of a written dispute — that clock begins on receipt of this ticket.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Dispute window closes on [DISPUTE WINDOW CLOSE DATE — 21 days from settlement date]. Please acknowledge receipt within one business day, confirm a first substantive response within Swiggy’s published SLA, and process the differential in the next payout cycle.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Regards,</w:t>
      </w:r>
    </w:p>
    <w:p>
      <w:pPr>
        <w:spacing w:after="120"/>
        <w:jc w:val="lef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[FINANCE CONTACT NAME], [DESIGNATION]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[MERCHANT COMPANY NAME]  |  GSTIN [MERCHANT GSTIN]</w:t>
      </w:r>
    </w:p>
    <w:p>
      <w:pPr>
        <w:pStyle w:val="Heading2"/>
        <w:spacing w:after="100" w:before="240"/>
      </w:pPr>
      <w:r>
        <w:rPr>
          <w:rFonts w:ascii="Calibri" w:cs="Calibri" w:eastAsia="Calibri" w:hAnsi="Calibri"/>
          <w:b/>
          <w:bCs/>
          <w:color w:val="0B2545"/>
          <w:sz w:val="24"/>
          <w:szCs w:val="24"/>
        </w:rPr>
        <w:t xml:space="preserve">Level 2 — Single Point of Contact (SPOC) — Account Manager escalation</w:t>
      </w:r>
    </w:p>
    <w:p>
      <w:pPr>
        <w:pStyle w:val="Heading3"/>
        <w:spacing w:after="80" w:before="18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Addressee</w:t>
      </w:r>
    </w:p>
    <w:p>
      <w:pPr>
        <w:spacing w:after="4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To:</w:t>
      </w:r>
      <w:r>
        <w:rPr>
          <w:rFonts w:ascii="Calibri" w:cs="Calibri" w:eastAsia="Calibri" w:hAnsi="Calibri"/>
          <w:sz w:val="22"/>
          <w:szCs w:val="22"/>
        </w:rPr>
        <w:t xml:space="preserve">  [ACCOUNT MANAGER NAME], Single Point of Contact — Swiggy Restaurant Partnerships</w:t>
      </w:r>
    </w:p>
    <w:p>
      <w:pPr>
        <w:spacing w:after="4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Cc:</w:t>
      </w:r>
      <w:r>
        <w:rPr>
          <w:rFonts w:ascii="Calibri" w:cs="Calibri" w:eastAsia="Calibri" w:hAnsi="Calibri"/>
          <w:sz w:val="22"/>
          <w:szCs w:val="22"/>
        </w:rPr>
        <w:t xml:space="preserve">  Swiggy Partner Support — Merchant Payout Team</w:t>
      </w:r>
    </w:p>
    <w:p>
      <w:pPr>
        <w:spacing w:after="4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Ref:</w:t>
      </w:r>
      <w:r>
        <w:rPr>
          <w:rFonts w:ascii="Calibri" w:cs="Calibri" w:eastAsia="Calibri" w:hAnsi="Calibri"/>
          <w:sz w:val="22"/>
          <w:szCs w:val="22"/>
        </w:rPr>
        <w:t xml:space="preserve">  Level 1 Ticket [TICKET REFERENCE] opened on [LEVEL 1 DATE]</w:t>
      </w:r>
    </w:p>
    <w:p>
      <w:pPr>
        <w:pStyle w:val="Heading3"/>
        <w:spacing w:after="80" w:before="18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Subject</w:t>
      </w:r>
    </w:p>
    <w:p>
      <w:pPr>
        <w:spacing w:after="120"/>
        <w:jc w:val="lef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Subject: Escalation — Payout ID [SETTLEMENT REFERENCE] — Rs [DISPUTE AMOUNT Rs] — Section 194O base and settlement-lag SLA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Dear [ACCOUNT MANAGER NAME],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This is Day [DAY NUMBER] of 21 in the dispute window for Payout ID [SETTLEMENT REFERENCE]. Following the Level 1 ticket [TICKET REFERENCE] and the absence of a substantive resolution within seven business days, we are escalating the Rs [DISPUTE AMOUNT Rs] disputed settlement to you as the named single point of contact.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Under Section 194O of the Income-tax Act 1961, the TDS at 1 per cent is on the gross amount of sale of goods or provision of services by the e-commerce participant. Where the deduction has been applied on a base that includes amounts not attributable to the merchant’s supply — customer packaging fees, delivery charges, or platform-collected surcharges that our books do not recognise as merchant revenue — the deduction is excess to that extent. The illustrative TDS excess on the disputed base of Rs 10,720 at 1 per cent is Rs 107.20 per order, which accumulates to Rs [DISPUTE AMOUNT Rs] across the merchant’s monthly volume.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Concurrently, where the settlement itself has lagged beyond the 7-day SLA published in the merchant agreement and the settlement flows via a licensed payment aggregator, the RBI Master Direction on Payment Aggregators and Payment Gateways requires the mis-collected amount to be refunded to the merchant escrow within three working days of a written dispute. Please confirm the aggregator entity handling the settlement and the current status of the escrow refund clock.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Please issue a corrected settlement and, where the TDS deposit has been made, a corrected quarterly TDS return under Section 200 so the excess is credited to the merchant’s Form 168 (or Form 26AS for pre-FY 2026-27 residuals). Please also confirm the Section 52 TCS on the correct net value has been passed through in the operator’s GSTR-8 filing so the corresponding credit appears in our GSTR-2B Table 6.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We request a substantive response within three business days of this email.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Regards,</w:t>
      </w:r>
    </w:p>
    <w:p>
      <w:pPr>
        <w:spacing w:after="120"/>
        <w:jc w:val="lef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[FINANCE CONTACT NAME], [DESIGNATION]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[MERCHANT COMPANY NAME]  |  GSTIN [MERCHANT GSTIN]</w:t>
      </w:r>
    </w:p>
    <w:p>
      <w:pPr>
        <w:pStyle w:val="Heading2"/>
        <w:spacing w:after="100" w:before="240"/>
      </w:pPr>
      <w:r>
        <w:rPr>
          <w:rFonts w:ascii="Calibri" w:cs="Calibri" w:eastAsia="Calibri" w:hAnsi="Calibri"/>
          <w:b/>
          <w:bCs/>
          <w:color w:val="0B2545"/>
          <w:sz w:val="24"/>
          <w:szCs w:val="24"/>
        </w:rPr>
        <w:t xml:space="preserve">Level 3 — Operations Manager — Rule 5 grievance escalation</w:t>
      </w:r>
    </w:p>
    <w:p>
      <w:pPr>
        <w:pStyle w:val="Heading3"/>
        <w:spacing w:after="80" w:before="18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Addressee</w:t>
      </w:r>
    </w:p>
    <w:p>
      <w:pPr>
        <w:spacing w:after="4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To:</w:t>
      </w:r>
      <w:r>
        <w:rPr>
          <w:rFonts w:ascii="Calibri" w:cs="Calibri" w:eastAsia="Calibri" w:hAnsi="Calibri"/>
          <w:sz w:val="22"/>
          <w:szCs w:val="22"/>
        </w:rPr>
        <w:t xml:space="preserve">  Operations Manager — Swiggy Restaurant Partnerships</w:t>
      </w:r>
    </w:p>
    <w:p>
      <w:pPr>
        <w:spacing w:after="4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Cc:</w:t>
      </w:r>
      <w:r>
        <w:rPr>
          <w:rFonts w:ascii="Calibri" w:cs="Calibri" w:eastAsia="Calibri" w:hAnsi="Calibri"/>
          <w:sz w:val="22"/>
          <w:szCs w:val="22"/>
        </w:rPr>
        <w:t xml:space="preserve">  [ACCOUNT MANAGER NAME], Partner Support, Grievance Officer under Rule 5</w:t>
      </w:r>
    </w:p>
    <w:p>
      <w:pPr>
        <w:spacing w:after="4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Ref:</w:t>
      </w:r>
      <w:r>
        <w:rPr>
          <w:rFonts w:ascii="Calibri" w:cs="Calibri" w:eastAsia="Calibri" w:hAnsi="Calibri"/>
          <w:sz w:val="22"/>
          <w:szCs w:val="22"/>
        </w:rPr>
        <w:t xml:space="preserve">  Level 1 [TICKET REFERENCE]; Level 2 [ESCALATION REFERENCE]</w:t>
      </w:r>
    </w:p>
    <w:p>
      <w:pPr>
        <w:pStyle w:val="Heading3"/>
        <w:spacing w:after="80" w:before="18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Subject</w:t>
      </w:r>
    </w:p>
    <w:p>
      <w:pPr>
        <w:spacing w:after="120"/>
        <w:jc w:val="lef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Subject: Rule 5 grievance escalation — Payout ID [SETTLEMENT REFERENCE] — Rs [DISPUTE AMOUNT Rs] unresolved through account team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Dear Operations Manager,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This is Day [DAY NUMBER] of 21 in the dispute window for Payout ID [SETTLEMENT REFERENCE]. Following the Level 2 escalation [ESCALATION REFERENCE] to [ACCOUNT MANAGER NAME] on [LEVEL 2 DATE] and the absence of a substantive response within seven business days, we are escalating to the operations manager under Swiggy’s own grievance framework published in accordance with Rule 5 of the Consumer Protection (E-Commerce) Rules 2020.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The disputed amount of Rs [DISPUTE AMOUNT Rs] remains outstanding. Under Rule 5, the platform is required to publish the grievance officer’s name and contact details, resolve complaints within one month, and maintain a grievance redressal mechanism accessible to the merchant. Where the settlement flows through a licensed payment aggregator, the Payment and Settlement Systems Act 2007 and the RBI Master Direction on Payment Aggregators and Payment Gateways impose the additional 3-working-day escrow refund SLA.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The complaint reference is [COMPLAINT REFERENCE], filed on [DATE], and the resolution deadline under the platform’s own published policy is [RESOLUTION DEADLINE DATE]. Attached is the full escalation trail — Level 1 portal ticket, Level 2 account manager email, order-level decomposition with the Section 194O base variance, and the Day 4 settlement decomposition workbook extract.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We request a written resolution within [NUMBER — commonly 5] business days of this escalation, and no later than the dispute window close of [DISPUTE WINDOW CLOSE DATE], failing which the case will be escalated to the key account director.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Regards,</w:t>
      </w:r>
    </w:p>
    <w:p>
      <w:pPr>
        <w:spacing w:after="120"/>
        <w:jc w:val="lef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[FINANCE CONTACT NAME], [DESIGNATION]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[MERCHANT COMPANY NAME]  |  GSTIN [MERCHANT GSTIN]</w:t>
      </w:r>
    </w:p>
    <w:p>
      <w:pPr>
        <w:pStyle w:val="Heading2"/>
        <w:spacing w:after="100" w:before="240"/>
      </w:pPr>
      <w:r>
        <w:rPr>
          <w:rFonts w:ascii="Calibri" w:cs="Calibri" w:eastAsia="Calibri" w:hAnsi="Calibri"/>
          <w:b/>
          <w:bCs/>
          <w:color w:val="0B2545"/>
          <w:sz w:val="24"/>
          <w:szCs w:val="24"/>
        </w:rPr>
        <w:t xml:space="preserve">Level 4 — Key Account Director — final in-platform escalation</w:t>
      </w:r>
    </w:p>
    <w:p>
      <w:pPr>
        <w:pStyle w:val="Heading3"/>
        <w:spacing w:after="80" w:before="18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Addressee</w:t>
      </w:r>
    </w:p>
    <w:p>
      <w:pPr>
        <w:spacing w:after="4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To:</w:t>
      </w:r>
      <w:r>
        <w:rPr>
          <w:rFonts w:ascii="Calibri" w:cs="Calibri" w:eastAsia="Calibri" w:hAnsi="Calibri"/>
          <w:sz w:val="22"/>
          <w:szCs w:val="22"/>
        </w:rPr>
        <w:t xml:space="preserve">  Key Account Director — Swiggy Restaurant Partnerships</w:t>
      </w:r>
    </w:p>
    <w:p>
      <w:pPr>
        <w:spacing w:after="4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Cc:</w:t>
      </w:r>
      <w:r>
        <w:rPr>
          <w:rFonts w:ascii="Calibri" w:cs="Calibri" w:eastAsia="Calibri" w:hAnsi="Calibri"/>
          <w:sz w:val="22"/>
          <w:szCs w:val="22"/>
        </w:rPr>
        <w:t xml:space="preserve">  Operations Manager, Grievance Officer under Rule 5, [ACCOUNT MANAGER NAME]</w:t>
      </w:r>
    </w:p>
    <w:p>
      <w:pPr>
        <w:spacing w:after="4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Ref:</w:t>
      </w:r>
      <w:r>
        <w:rPr>
          <w:rFonts w:ascii="Calibri" w:cs="Calibri" w:eastAsia="Calibri" w:hAnsi="Calibri"/>
          <w:sz w:val="22"/>
          <w:szCs w:val="22"/>
        </w:rPr>
        <w:t xml:space="preserve">  Level 1 [TICKET REFERENCE]; Level 2 [ESCALATION REFERENCE]; Level 3 [COMPLAINT REFERENCE]</w:t>
      </w:r>
    </w:p>
    <w:p>
      <w:pPr>
        <w:pStyle w:val="Heading3"/>
        <w:spacing w:after="80" w:before="18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Subject</w:t>
      </w:r>
    </w:p>
    <w:p>
      <w:pPr>
        <w:spacing w:after="120"/>
        <w:jc w:val="lef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Subject: Key Account Director escalation — Payout ID [SETTLEMENT REFERENCE] — Rs [DISPUTE AMOUNT Rs] — dispute window closing on [DISPUTE WINDOW CLOSE DATE]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Dear Director,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This is Day [DAY NUMBER] of 21 in the dispute window for Payout ID [SETTLEMENT REFERENCE]. Following the escalation ladder run through Level 1 (portal ticket [TICKET REFERENCE]), Level 2 (single point of contact [ESCALATION REFERENCE]), and Level 3 (operations manager under Rule 5, complaint reference [COMPLAINT REFERENCE]) without resolution, and with the dispute window closing on [DISPUTE WINDOW CLOSE DATE], we are escalating to you as the key account director.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The disputed amount of Rs [DISPUTE AMOUNT Rs] is material to the merchant’s settlement cycle. Cumulative unresolved dispute value across the account for the current cycle is Rs [CUMULATIVE UNRESOLVED AMOUNT]. Where the settlement flows through a licensed payment aggregator, the mis-collected amount was due to the merchant escrow within three working days of the Level 1 written dispute under the RBI Master Direction on Payment Aggregators and Payment Gateways.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We request a written resolution and the corrected settlement by [FINAL DEADLINE DATE], failing which the case will be escalated to the platform’s grievance officer under Rule 5 of the Consumer Protection (E-Commerce) Rules 2020 with a formal complaint copy to the consumer commission with appropriate jurisdiction.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Regards,</w:t>
      </w:r>
    </w:p>
    <w:p>
      <w:pPr>
        <w:spacing w:after="120"/>
        <w:jc w:val="lef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[FINANCE CONTACT NAME], [DESIGNATION]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[MERCHANT COMPANY NAME]  |  GSTIN [MERCHANT GSTIN]</w:t>
      </w:r>
    </w:p>
    <w:p>
      <w:pPr>
        <w:pStyle w:val="Heading2"/>
        <w:spacing w:after="100" w:before="240"/>
      </w:pPr>
      <w:r>
        <w:rPr>
          <w:rFonts w:ascii="Calibri" w:cs="Calibri" w:eastAsia="Calibri" w:hAnsi="Calibri"/>
          <w:b/>
          <w:bCs/>
          <w:color w:val="0B2545"/>
          <w:sz w:val="24"/>
          <w:szCs w:val="24"/>
        </w:rPr>
        <w:t xml:space="preserve">Signature block (dispatch copy)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Yours sincerely,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spacing w:after="120"/>
        <w:jc w:val="left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[SIGNATURE]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[FINANCE CONTACT NAME]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[DESIGNATION], [MERCHANT COMPANY NAME]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For and on behalf of [MERCHANT LEGAL ENTITY]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spacing w:after="120"/>
        <w:jc w:val="left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Enclosures:</w:t>
      </w:r>
    </w:p>
    <w:p>
      <w:pPr>
        <w:spacing w:after="60"/>
        <w:ind w:left="360" w:hanging="22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Settlement report / payout statement for the disputed period</w:t>
      </w:r>
    </w:p>
    <w:p>
      <w:pPr>
        <w:spacing w:after="60"/>
        <w:ind w:left="360" w:hanging="22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Order-level or reservation-level extract with the variance decomposition</w:t>
      </w:r>
    </w:p>
    <w:p>
      <w:pPr>
        <w:spacing w:after="60"/>
        <w:ind w:left="360" w:hanging="22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Ticket / case log correspondence trail (Level 1, Level 2, Level 3 as applicable)</w:t>
      </w:r>
    </w:p>
    <w:p>
      <w:pPr>
        <w:spacing w:after="60"/>
        <w:ind w:left="360" w:hanging="220"/>
      </w:pPr>
      <w:r>
        <w:rPr>
          <w:rFonts w:ascii="Calibri" w:cs="Calibri" w:eastAsia="Calibri" w:hAnsi="Calibri"/>
          <w:b/>
          <w:bCs/>
          <w:color w:val="0B2545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Prior escalation acknowledgements and reference numbers</w:t>
      </w:r>
    </w:p>
    <w:p>
      <w:pPr>
        <w:pStyle w:val="Heading2"/>
        <w:spacing w:after="100" w:before="240"/>
      </w:pPr>
      <w:r>
        <w:rPr>
          <w:rFonts w:ascii="Calibri" w:cs="Calibri" w:eastAsia="Calibri" w:hAnsi="Calibri"/>
          <w:b/>
          <w:bCs/>
          <w:color w:val="0B2545"/>
          <w:sz w:val="24"/>
          <w:szCs w:val="24"/>
        </w:rPr>
        <w:t xml:space="preserve">Customise before sending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Replace [SETTLEMENT REFERENCE], [RESTAURANT NAME], [MERCHANT GSTIN], [SETTLEMENT PERIOD END DATE], [SETTLEMENT DATE], [DISPUTE AMOUNT Rs], [DISPUTE CATEGORY], [ACCOUNT MANAGER NAME], [TICKET REFERENCE], [ESCALATION REFERENCE], [COMPLAINT REFERENCE], [DISPUTE WINDOW CLOSE DATE], every [DAY NUMBER] countdown, and every illustrative rupee figure before dispatch. The Section 194O packaging-fee scenario is illustrative — the same body applies to a commission-TCS split discrepancy or a settlement-lag SLA dispute with the specific paragraph adjusted. Confirm whether the settlement flows via a licensed payment aggregator before citing the RBI 3-day SLA; where the settlement is direct from Swiggy’s own bank account, the SLA anchor is the merchant agreement, not the RBI Master Direction.</w:t>
      </w:r>
    </w:p>
    <w:p>
      <w:pPr>
        <w:pStyle w:val="Heading2"/>
        <w:spacing w:after="100" w:before="240"/>
      </w:pPr>
      <w:r>
        <w:rPr>
          <w:rFonts w:ascii="Calibri" w:cs="Calibri" w:eastAsia="Calibri" w:hAnsi="Calibri"/>
          <w:b/>
          <w:bCs/>
          <w:color w:val="0B2545"/>
          <w:sz w:val="24"/>
          <w:szCs w:val="24"/>
        </w:rPr>
        <w:t xml:space="preserve">Cross-reference</w:t>
      </w:r>
    </w:p>
    <w:p>
      <w:pPr>
        <w:spacing w:after="120"/>
        <w:jc w:val="left"/>
      </w:pPr>
      <w:r>
        <w:rPr>
          <w:rFonts w:ascii="Calibri" w:cs="Calibri" w:eastAsia="Calibri" w:hAnsi="Calibri"/>
          <w:sz w:val="22"/>
          <w:szCs w:val="22"/>
        </w:rPr>
        <w:t xml:space="preserve">This letter template is Brief 14 of the Terra Insight Reconciliation Playbook. Read alongside Brief 8 (platform settlement decomposition — the Day 4 workbook that feeds the variance detection) and Brief 1 (bank reconciliation runbook that traces the actual bank credit).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BD5E0" w:sz="6" w:space="1"/>
      </w:pBdr>
      <w:spacing w:before="40"/>
    </w:pPr>
    <w:r>
      <w:rPr>
        <w:rFonts w:ascii="Calibri" w:cs="Calibri" w:eastAsia="Calibri" w:hAnsi="Calibri"/>
        <w:sz w:val="2"/>
        <w:szCs w:val="2"/>
      </w:rPr>
      <w:t xml:space="preserve"/>
    </w:r>
  </w:p>
  <w:p>
    <w:pPr>
      <w:jc w:val="left"/>
    </w:pPr>
    <w:r>
      <w:rPr>
        <w:rFonts w:ascii="Calibri" w:cs="Calibri" w:eastAsia="Calibri" w:hAnsi="Calibri"/>
        <w:i/>
        <w:iCs/>
        <w:color w:val="4A5568"/>
        <w:sz w:val="16"/>
        <w:szCs w:val="16"/>
      </w:rPr>
      <w:t xml:space="preserve">Illustrative template — customise before sending. </w:t>
    </w:r>
    <w:r>
      <w:rPr>
        <w:rFonts w:ascii="Calibri" w:cs="Calibri" w:eastAsia="Calibri" w:hAnsi="Calibri"/>
        <w:color w:val="4A5568"/>
        <w:sz w:val="16"/>
        <w:szCs w:val="16"/>
      </w:rPr>
      <w:t xml:space="preserve">Terra Insight Editorial Team  |  Version 1.0  |  2026-08-06</w:t>
    </w:r>
    <w:r>
      <w:rPr>
        <w:rFonts w:ascii="Calibri" w:cs="Calibri" w:eastAsia="Calibri" w:hAnsi="Calibri"/>
        <w:color w:val="4A5568"/>
        <w:sz w:val="16"/>
        <w:szCs w:val="16"/>
      </w:rPr>
      <w:t xml:space="preserve">   ·  Page </w:t>
    </w:r>
    <w:r>
      <w:rPr>
        <w:rFonts w:ascii="Calibri" w:cs="Calibri" w:eastAsia="Calibri" w:hAnsi="Calibri"/>
        <w:color w:val="4A556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4A5568"/>
        <w:sz w:val="16"/>
        <w:szCs w:val="16"/>
      </w:rPr>
      <w:t xml:space="preserve"> of </w:t>
    </w:r>
    <w:r>
      <w:rPr>
        <w:rFonts w:ascii="Calibri" w:cs="Calibri" w:eastAsia="Calibri" w:hAnsi="Calibri"/>
        <w:color w:val="4A5568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40"/>
      <w:jc w:val="left"/>
    </w:pPr>
    <w:r>
      <w:rPr>
        <w:rFonts w:ascii="Calibri" w:cs="Calibri" w:eastAsia="Calibri" w:hAnsi="Calibri"/>
        <w:b/>
        <w:bCs/>
        <w:color w:val="0B2545"/>
        <w:sz w:val="22"/>
        <w:szCs w:val="22"/>
      </w:rPr>
      <w:t xml:space="preserve">Terra Insight</w:t>
    </w:r>
    <w:r>
      <w:rPr>
        <w:rFonts w:ascii="Calibri" w:cs="Calibri" w:eastAsia="Calibri" w:hAnsi="Calibri"/>
        <w:color w:val="4A5568"/>
        <w:sz w:val="18"/>
        <w:szCs w:val="18"/>
      </w:rPr>
      <w:t xml:space="preserve">  |  Aggregator Settlement Dispute Letter Pack</w:t>
    </w:r>
  </w:p>
  <w:p>
    <w:pPr>
      <w:pBdr>
        <w:bottom w:val="single" w:color="CBD5E0" w:sz="6" w:space="1"/>
      </w:pBdr>
      <w:spacing w:after="120"/>
    </w:pPr>
    <w:r>
      <w:rPr>
        <w:rFonts w:ascii="Calibri" w:cs="Calibri" w:eastAsia="Calibri" w:hAnsi="Calibri"/>
        <w:sz w:val="2"/>
        <w:szCs w:val="2"/>
      </w:rPr>
      <w:t xml:space="preserv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Swiggy Partner Settlement Dispute Letter</dc:title>
  <dc:creator>Terra Insight Editorial Team</dc:creator>
  <dc:description>Swiggy Partner App settlement dispute letter template — Terra Insight Editorial Team.</dc:description>
  <cp:lastModifiedBy>Un-named</cp:lastModifiedBy>
  <cp:revision>1</cp:revision>
  <dcterms:created xsi:type="dcterms:W3CDTF">2026-08-16T05:22:44.854Z</dcterms:created>
  <dcterms:modified xsi:type="dcterms:W3CDTF">2026-08-16T05:22:44.854Z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