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B2545"/>
          <w:sz w:val="22"/>
          <w:szCs w:val="22"/>
        </w:rPr>
        <w:t xml:space="preserve">Zomato Restaurant Partner Portal</w:t>
      </w:r>
    </w:p>
    <w:p>
      <w:pPr>
        <w:spacing w:after="160"/>
      </w:pPr>
      <w:r>
        <w:rPr>
          <w:rFonts w:ascii="Calibri" w:cs="Calibri" w:eastAsia="Calibri" w:hAnsi="Calibri"/>
          <w:b/>
          <w:bCs/>
          <w:color w:val="0B2545"/>
          <w:sz w:val="36"/>
          <w:szCs w:val="36"/>
        </w:rPr>
        <w:t xml:space="preserve">Zomato Restaurant Partner Settlement Dispute Letter</w:t>
      </w:r>
    </w:p>
    <w:p>
      <w:pPr>
        <w:pBdr>
          <w:bottom w:val="single" w:color="CBD5E0" w:sz="6" w:space="1"/>
        </w:pBdr>
        <w:spacing w:after="200"/>
      </w:pPr>
      <w:r>
        <w:rPr>
          <w:rFonts w:ascii="Calibri" w:cs="Calibri" w:eastAsia="Calibri" w:hAnsi="Calibri"/>
          <w:sz w:val="2"/>
          <w:szCs w:val="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3200"/>
        <w:gridCol w:w="6400"/>
      </w:tblGrid>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Platform</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Zomato — Restaurant Partner Portal</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Dispute window</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15 days from settlement date</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Dispatch discipline</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Dispatch Level 1 by Day 6; escalate to Level 2 by Day 10; Level 3 by Day 12; Level 4 by Day 14.</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Portal path</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Restaurant Partner Portal → Payouts → Dispute → Raise Ticket</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Statutory anchors</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Section 194O, Income-tax Act 1961 (Section 393 payment code 1011 from 1 April 2026); Section 52, CGST Act 2017; Rule 46, CGST Rules 2017; Rule 5, Consumer Protection (E-Commerce) Rules 2020; Consumer Protection Act 2019</w:t>
            </w:r>
          </w:p>
        </w:tc>
      </w:tr>
      <w:tr>
        <w:trPr>
          <w:tblHeader w:val="false"/>
        </w:trPr>
        <w:tc>
          <w:tcPr>
            <w:tcW w:type="dxa" w:w="3200"/>
            <w:tcMar>
              <w:top w:type="dxa" w:w="100"/>
              <w:left w:type="dxa" w:w="120"/>
              <w:bottom w:type="dxa" w:w="100"/>
              <w:right w:type="dxa" w:w="120"/>
            </w:tcMar>
          </w:tcPr>
          <w:p>
            <w:r>
              <w:rPr>
                <w:rFonts w:ascii="Calibri" w:cs="Calibri" w:eastAsia="Calibri" w:hAnsi="Calibri"/>
                <w:b w:val="false"/>
                <w:bCs w:val="false"/>
                <w:color w:val="111827"/>
                <w:sz w:val="22"/>
                <w:szCs w:val="22"/>
              </w:rPr>
              <w:t xml:space="preserve">Escalation ladder</w:t>
            </w:r>
          </w:p>
        </w:tc>
        <w:tc>
          <w:tcPr>
            <w:tcW w:type="dxa" w:w="6400"/>
            <w:tcMar>
              <w:top w:type="dxa" w:w="100"/>
              <w:left w:type="dxa" w:w="120"/>
              <w:bottom w:type="dxa" w:w="100"/>
              <w:right w:type="dxa" w:w="120"/>
            </w:tcMar>
          </w:tcPr>
          <w:p>
            <w:r>
              <w:rPr>
                <w:rFonts w:ascii="Calibri" w:cs="Calibri" w:eastAsia="Calibri" w:hAnsi="Calibri"/>
                <w:b w:val="false"/>
                <w:bCs w:val="false"/>
                <w:color w:val="111827"/>
                <w:sz w:val="22"/>
                <w:szCs w:val="22"/>
              </w:rPr>
              <w:t xml:space="preserve">Level 1 POC → Level 2 SPOC → Level 3 Operations Manager (Rule 5) → Level 4 Key Account Director</w:t>
            </w:r>
          </w:p>
        </w:tc>
      </w:tr>
    </w:tbl>
    <w:p>
      <w:pPr>
        <w:spacing w:after="120"/>
        <w:jc w:val="left"/>
      </w:pPr>
      <w:r>
        <w:rPr>
          <w:rFonts w:ascii="Calibri" w:cs="Calibri" w:eastAsia="Calibri" w:hAnsi="Calibri"/>
          <w:sz w:val="22"/>
          <w:szCs w:val="22"/>
        </w:rPr>
        <w:t xml:space="preserve"/>
      </w:r>
    </w:p>
    <w:tbl>
      <w:tblPr>
        <w:tblW w:type="dxa" w:w="9600"/>
        <w:tblBorders>
          <w:top w:val="single" w:color="auto" w:sz="4"/>
          <w:left w:val="single" w:color="auto" w:sz="4"/>
          <w:bottom w:val="single" w:color="auto" w:sz="4"/>
          <w:right w:val="single" w:color="auto" w:sz="4"/>
          <w:insideH w:val="single" w:color="auto" w:sz="4"/>
          <w:insideV w:val="single" w:color="auto" w:sz="4"/>
        </w:tblBorders>
      </w:tblPr>
      <w:tblGrid>
        <w:gridCol w:w="9600"/>
      </w:tblGrid>
      <w:tr>
        <w:tc>
          <w:tcPr>
            <w:tcW w:type="dxa" w:w="9600"/>
            <w:tcBorders>
              <w:top w:val="single" w:color="F59E0B" w:sz="4"/>
              <w:left w:val="single" w:color="F59E0B" w:sz="4"/>
              <w:bottom w:val="single" w:color="F59E0B" w:sz="4"/>
              <w:right w:val="single" w:color="F59E0B" w:sz="4"/>
            </w:tcBorders>
            <w:shd w:fill="FFF4E5" w:color="auto" w:val="clear"/>
            <w:tcMar>
              <w:top w:type="dxa" w:w="160"/>
              <w:left w:type="dxa" w:w="180"/>
              <w:bottom w:type="dxa" w:w="160"/>
              <w:right w:type="dxa" w:w="180"/>
            </w:tcMar>
          </w:tcPr>
          <w:p>
            <w:pPr>
              <w:spacing w:after="40"/>
            </w:pPr>
            <w:r>
              <w:rPr>
                <w:rFonts w:ascii="Calibri" w:cs="Calibri" w:eastAsia="Calibri" w:hAnsi="Calibri"/>
                <w:b/>
                <w:bCs/>
                <w:color w:val="92400E"/>
                <w:sz w:val="22"/>
                <w:szCs w:val="22"/>
              </w:rPr>
              <w:t xml:space="preserve">Customise every letter before sending.</w:t>
            </w:r>
          </w:p>
          <w:p>
            <w:r>
              <w:rPr>
                <w:rFonts w:ascii="Calibri" w:cs="Calibri" w:eastAsia="Calibri" w:hAnsi="Calibri"/>
                <w:color w:val="92400E"/>
                <w:sz w:val="20"/>
                <w:szCs w:val="20"/>
              </w:rPr>
              <w:t xml:space="preserve">This is a template. Every [SQUARE BRACKET] is a placeholder and every rupee figure is illustrative. Replace all merchant identifiers, settlement references, ticket references, escalation references, and disputed amounts against your own Day 4 platform settlement decomposition workbook and the platform’s payout statement before dispatch.</w:t>
            </w:r>
          </w:p>
        </w:tc>
      </w:tr>
    </w:tbl>
    <w:p>
      <w:pPr>
        <w:spacing w:after="120"/>
        <w:jc w:val="left"/>
      </w:pPr>
      <w:r>
        <w:rPr>
          <w:rFonts w:ascii="Calibri" w:cs="Calibri" w:eastAsia="Calibri" w:hAnsi="Calibri"/>
          <w:sz w:val="22"/>
          <w:szCs w:val="22"/>
        </w:rPr>
        <w:t xml:space="preserve"/>
      </w:r>
    </w:p>
    <w:p>
      <w:pPr>
        <w:pStyle w:val="Heading2"/>
        <w:spacing w:after="100" w:before="240"/>
      </w:pPr>
      <w:r>
        <w:rPr>
          <w:rFonts w:ascii="Calibri" w:cs="Calibri" w:eastAsia="Calibri" w:hAnsi="Calibri"/>
          <w:b/>
          <w:bCs/>
          <w:color w:val="0B2545"/>
          <w:sz w:val="24"/>
          <w:szCs w:val="24"/>
        </w:rPr>
        <w:t xml:space="preserve">Common variance categories the letter addresses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Commission overcharge — commission line above the contracted 18–22% cap, typically because a promotional discount has been routed through the commission line instead of a separate promotional-support line.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Section 194O TDS misapplied — 1% deducted on a base that includes customer packaging fees, delivery charges, or promotional recovery amounts that the merchant has not booked as revenue.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Section 52 TCS double-charge or non-pass-through — TCS collected but not reflected in the merchant’s GSTR-2B Table 6, or double-collected on the same order after a refund reversal.</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SLA penalty overreach — delivery cancellation or preparation-time penalty applied where the fault sits with the delivery partner or the customer, not the restaurant.</w:t>
      </w:r>
    </w:p>
    <w:p>
      <w:pPr>
        <w:pStyle w:val="Heading2"/>
        <w:spacing w:after="100" w:before="240"/>
      </w:pPr>
      <w:r>
        <w:rPr>
          <w:rFonts w:ascii="Calibri" w:cs="Calibri" w:eastAsia="Calibri" w:hAnsi="Calibri"/>
          <w:b/>
          <w:bCs/>
          <w:color w:val="0B2545"/>
          <w:sz w:val="24"/>
          <w:szCs w:val="24"/>
        </w:rPr>
        <w:t xml:space="preserve">Merchant details (fill in once, reuse)</w:t>
      </w:r>
    </w:p>
    <w:p>
      <w:pPr>
        <w:spacing w:after="40"/>
      </w:pPr>
      <w:r>
        <w:rPr>
          <w:rFonts w:ascii="Calibri" w:cs="Calibri" w:eastAsia="Calibri" w:hAnsi="Calibri"/>
          <w:b/>
          <w:bCs/>
          <w:color w:val="0B2545"/>
          <w:sz w:val="22"/>
          <w:szCs w:val="22"/>
        </w:rPr>
        <w:t xml:space="preserve">From:</w:t>
      </w:r>
      <w:r>
        <w:rPr>
          <w:rFonts w:ascii="Calibri" w:cs="Calibri" w:eastAsia="Calibri" w:hAnsi="Calibri"/>
          <w:sz w:val="22"/>
          <w:szCs w:val="22"/>
        </w:rPr>
        <w:t xml:space="preserve">  [MERCHANT COMPANY NAME] — [MERCHANT LEGAL ENTITY]</w:t>
      </w:r>
    </w:p>
    <w:p>
      <w:pPr>
        <w:spacing w:after="40"/>
      </w:pPr>
      <w:r>
        <w:rPr>
          <w:rFonts w:ascii="Calibri" w:cs="Calibri" w:eastAsia="Calibri" w:hAnsi="Calibri"/>
          <w:b/>
          <w:bCs/>
          <w:color w:val="0B2545"/>
          <w:sz w:val="22"/>
          <w:szCs w:val="22"/>
        </w:rPr>
        <w:t xml:space="preserve">GSTIN:</w:t>
      </w:r>
      <w:r>
        <w:rPr>
          <w:rFonts w:ascii="Calibri" w:cs="Calibri" w:eastAsia="Calibri" w:hAnsi="Calibri"/>
          <w:sz w:val="22"/>
          <w:szCs w:val="22"/>
        </w:rPr>
        <w:t xml:space="preserve">  [MERCHANT GSTIN]</w:t>
      </w:r>
    </w:p>
    <w:p>
      <w:pPr>
        <w:spacing w:after="40"/>
      </w:pPr>
      <w:r>
        <w:rPr>
          <w:rFonts w:ascii="Calibri" w:cs="Calibri" w:eastAsia="Calibri" w:hAnsi="Calibri"/>
          <w:b/>
          <w:bCs/>
          <w:color w:val="0B2545"/>
          <w:sz w:val="22"/>
          <w:szCs w:val="22"/>
        </w:rPr>
        <w:t xml:space="preserve">PAN:</w:t>
      </w:r>
      <w:r>
        <w:rPr>
          <w:rFonts w:ascii="Calibri" w:cs="Calibri" w:eastAsia="Calibri" w:hAnsi="Calibri"/>
          <w:sz w:val="22"/>
          <w:szCs w:val="22"/>
        </w:rPr>
        <w:t xml:space="preserve">  [MERCHANT PAN]</w:t>
      </w:r>
    </w:p>
    <w:p>
      <w:pPr>
        <w:spacing w:after="40"/>
      </w:pPr>
      <w:r>
        <w:rPr>
          <w:rFonts w:ascii="Calibri" w:cs="Calibri" w:eastAsia="Calibri" w:hAnsi="Calibri"/>
          <w:b/>
          <w:bCs/>
          <w:color w:val="0B2545"/>
          <w:sz w:val="22"/>
          <w:szCs w:val="22"/>
        </w:rPr>
        <w:t xml:space="preserve">Registered address:</w:t>
      </w:r>
      <w:r>
        <w:rPr>
          <w:rFonts w:ascii="Calibri" w:cs="Calibri" w:eastAsia="Calibri" w:hAnsi="Calibri"/>
          <w:sz w:val="22"/>
          <w:szCs w:val="22"/>
        </w:rPr>
        <w:t xml:space="preserve">  [MERCHANT ADDRESS LINE 1], [CITY], [STATE], [PIN]</w:t>
      </w:r>
    </w:p>
    <w:p>
      <w:pPr>
        <w:spacing w:after="40"/>
      </w:pPr>
      <w:r>
        <w:rPr>
          <w:rFonts w:ascii="Calibri" w:cs="Calibri" w:eastAsia="Calibri" w:hAnsi="Calibri"/>
          <w:b/>
          <w:bCs/>
          <w:color w:val="0B2545"/>
          <w:sz w:val="22"/>
          <w:szCs w:val="22"/>
        </w:rPr>
        <w:t xml:space="preserve">Contact:</w:t>
      </w:r>
      <w:r>
        <w:rPr>
          <w:rFonts w:ascii="Calibri" w:cs="Calibri" w:eastAsia="Calibri" w:hAnsi="Calibri"/>
          <w:sz w:val="22"/>
          <w:szCs w:val="22"/>
        </w:rPr>
        <w:t xml:space="preserve">  [FINANCE CONTACT NAME], [DESIGNATION], [PHONE], [EMAIL]</w:t>
      </w:r>
    </w:p>
    <w:p>
      <w:pPr>
        <w:spacing w:after="40"/>
      </w:pPr>
      <w:r>
        <w:rPr>
          <w:rFonts w:ascii="Calibri" w:cs="Calibri" w:eastAsia="Calibri" w:hAnsi="Calibri"/>
          <w:b/>
          <w:bCs/>
          <w:color w:val="0B2545"/>
          <w:sz w:val="22"/>
          <w:szCs w:val="22"/>
        </w:rPr>
        <w:t xml:space="preserve">Date:</w:t>
      </w:r>
      <w:r>
        <w:rPr>
          <w:rFonts w:ascii="Calibri" w:cs="Calibri" w:eastAsia="Calibri" w:hAnsi="Calibri"/>
          <w:sz w:val="22"/>
          <w:szCs w:val="22"/>
        </w:rPr>
        <w:t xml:space="preserve">  [DISPATCH DATE — DD MMM YYYY]</w:t>
      </w:r>
    </w:p>
    <w:p>
      <w:pPr>
        <w:pStyle w:val="Heading2"/>
        <w:spacing w:after="100" w:before="240"/>
      </w:pPr>
      <w:r>
        <w:rPr>
          <w:rFonts w:ascii="Calibri" w:cs="Calibri" w:eastAsia="Calibri" w:hAnsi="Calibri"/>
          <w:b/>
          <w:bCs/>
          <w:color w:val="0B2545"/>
          <w:sz w:val="24"/>
          <w:szCs w:val="24"/>
        </w:rPr>
        <w:t xml:space="preserve">Level 1 — Portal Support Officer (POC) — Restaurant Partner Portal ticket body</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Portal Support — Restaurant Partner Portal</w:t>
      </w:r>
    </w:p>
    <w:p>
      <w:pPr>
        <w:spacing w:after="40"/>
      </w:pPr>
      <w:r>
        <w:rPr>
          <w:rFonts w:ascii="Calibri" w:cs="Calibri" w:eastAsia="Calibri" w:hAnsi="Calibri"/>
          <w:b/>
          <w:bCs/>
          <w:color w:val="0B2545"/>
          <w:sz w:val="22"/>
          <w:szCs w:val="22"/>
        </w:rPr>
        <w:t xml:space="preserve">Via:</w:t>
      </w:r>
      <w:r>
        <w:rPr>
          <w:rFonts w:ascii="Calibri" w:cs="Calibri" w:eastAsia="Calibri" w:hAnsi="Calibri"/>
          <w:sz w:val="22"/>
          <w:szCs w:val="22"/>
        </w:rPr>
        <w:t xml:space="preserve">  Restaurant Partner Portal → Payouts → Dispute → Raise Ticket</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Dispute on Restaurant Partner Payout — Settlement ID [SETTLEMENT REFERENCE] — Restaurant [RESTAURANT NAME] (Outlet ID [ZOMATO OUTLET ID]) GSTIN [MERCHANT GSTIN]</w:t>
      </w:r>
    </w:p>
    <w:p>
      <w:pPr>
        <w:spacing w:after="120"/>
        <w:jc w:val="left"/>
      </w:pPr>
      <w:r>
        <w:rPr>
          <w:rFonts w:ascii="Calibri" w:cs="Calibri" w:eastAsia="Calibri" w:hAnsi="Calibri"/>
          <w:sz w:val="22"/>
          <w:szCs w:val="22"/>
        </w:rPr>
        <w:t xml:space="preserve">Dear Restaurant Partner Support Team,</w:t>
      </w:r>
    </w:p>
    <w:p>
      <w:pPr>
        <w:spacing w:after="120"/>
        <w:jc w:val="left"/>
      </w:pPr>
      <w:r>
        <w:rPr>
          <w:rFonts w:ascii="Calibri" w:cs="Calibri" w:eastAsia="Calibri" w:hAnsi="Calibri"/>
          <w:sz w:val="22"/>
          <w:szCs w:val="22"/>
        </w:rPr>
        <w:t xml:space="preserve">This is Day [DAY NUMBER] of 15 in the Restaurant Partner Portal dispute window for the payout received on [SETTLEMENT DATE] for the week ending [WEEK ENDING DATE].</w:t>
      </w:r>
    </w:p>
    <w:p>
      <w:pPr>
        <w:spacing w:after="120"/>
        <w:jc w:val="left"/>
      </w:pPr>
      <w:r>
        <w:rPr>
          <w:rFonts w:ascii="Calibri" w:cs="Calibri" w:eastAsia="Calibri" w:hAnsi="Calibri"/>
          <w:sz w:val="22"/>
          <w:szCs w:val="22"/>
        </w:rPr>
        <w:t xml:space="preserve">We are raising a dispute against the payout statement for the week ending [WEEK ENDING DATE], credited on [SETTLEMENT DATE]. The expected payout as per our internal Day 4 decomposition against orders received in the week is Rs [EXPECTED PAYOUT AMOUNT] (illustrative: Rs 4,80,000). The actual credit to our nominated bank account was Rs [ACTUAL CREDIT AMOUNT] (illustrative: Rs 3,74,000). The variance of Rs [DISPUTE AMOUNT Rs] (illustrative: Rs 1,06,000) has been traced to a [DISPUTE CATEGORY — e.g., promotional discount routed through the commission line] against orders where our records show a documented promotional-support entitlement under the current commercial arrangement.</w:t>
      </w:r>
    </w:p>
    <w:p>
      <w:pPr>
        <w:spacing w:after="120"/>
        <w:jc w:val="left"/>
      </w:pPr>
      <w:r>
        <w:rPr>
          <w:rFonts w:ascii="Calibri" w:cs="Calibri" w:eastAsia="Calibri" w:hAnsi="Calibri"/>
          <w:sz w:val="22"/>
          <w:szCs w:val="22"/>
        </w:rPr>
        <w:t xml:space="preserve">The order-level detail with the disputed decomposition is attached for the [NUMBER OF ORDERS] orders where the routing is disputed. The commission line on those orders exceeds the contracted commission cap of [CONTRACTED COMMISSION %]% and appears to have absorbed the promotional discount instead of routing it through the promotional-support line.</w:t>
      </w:r>
    </w:p>
    <w:p>
      <w:pPr>
        <w:spacing w:after="120"/>
        <w:jc w:val="left"/>
      </w:pPr>
      <w:r>
        <w:rPr>
          <w:rFonts w:ascii="Calibri" w:cs="Calibri" w:eastAsia="Calibri" w:hAnsi="Calibri"/>
          <w:sz w:val="22"/>
          <w:szCs w:val="22"/>
        </w:rPr>
        <w:t xml:space="preserve">Under the Consumer Protection (E-Commerce) Rules 2020 issued under the Consumer Protection Act 2019, the platform is required to maintain a grievance redressal mechanism accessible to the merchant and resolve complaints in a time-bound manner. We request that the correct commission calculation be confirmed and the differential of Rs [DISPUTE AMOUNT Rs] be processed in the next payout cycle.</w:t>
      </w:r>
    </w:p>
    <w:p>
      <w:pPr>
        <w:spacing w:after="120"/>
        <w:jc w:val="left"/>
      </w:pPr>
      <w:r>
        <w:rPr>
          <w:rFonts w:ascii="Calibri" w:cs="Calibri" w:eastAsia="Calibri" w:hAnsi="Calibri"/>
          <w:sz w:val="22"/>
          <w:szCs w:val="22"/>
        </w:rPr>
        <w:t xml:space="preserve">Dispute window closes on [DISPUTE WINDOW CLOSE DATE — 15 days from settlement date]. Please acknowledge receipt within one business day and confirm a first substantive response within the Restaurant Partner Portal’s published 5-business-day SLA.</w:t>
      </w:r>
    </w:p>
    <w:p>
      <w:pPr>
        <w:spacing w:after="120"/>
        <w:jc w:val="left"/>
      </w:pPr>
      <w:r>
        <w:rPr>
          <w:rFonts w:ascii="Calibri" w:cs="Calibri" w:eastAsia="Calibri" w:hAnsi="Calibri"/>
          <w:sz w:val="22"/>
          <w:szCs w:val="22"/>
        </w:rPr>
        <w:t xml:space="preserve">Ticket reference will be captured in our monthly working paper folder against Settlement ID [SETTLEMENT REFERENCE].</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2 — Single Point of Contact (SPOC) — Account Manager escalation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[ACCOUNT MANAGER NAME], Single Point of Contact — Zomato Restaurant Partnerships</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Restaurant Partner Portal Support</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[TICKET REFERENCE] opened on [LEVEL 1 DATE]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Escalation — Settlement ID [SETTLEMENT REFERENCE] — Rs [DISPUTE AMOUNT Rs] unresolved beyond 5-business-day portal SLA — Section 194O and Section 52 anchor</w:t>
      </w:r>
    </w:p>
    <w:p>
      <w:pPr>
        <w:spacing w:after="120"/>
        <w:jc w:val="left"/>
      </w:pPr>
      <w:r>
        <w:rPr>
          <w:rFonts w:ascii="Calibri" w:cs="Calibri" w:eastAsia="Calibri" w:hAnsi="Calibri"/>
          <w:sz w:val="22"/>
          <w:szCs w:val="22"/>
        </w:rPr>
        <w:t xml:space="preserve">Dear [ACCOUNT MANAGER NAME],</w:t>
      </w:r>
    </w:p>
    <w:p>
      <w:pPr>
        <w:spacing w:after="120"/>
        <w:jc w:val="left"/>
      </w:pPr>
      <w:r>
        <w:rPr>
          <w:rFonts w:ascii="Calibri" w:cs="Calibri" w:eastAsia="Calibri" w:hAnsi="Calibri"/>
          <w:sz w:val="22"/>
          <w:szCs w:val="22"/>
        </w:rPr>
        <w:t xml:space="preserve">This is Day [DAY NUMBER] of 15 in the dispute window for Settlement ID [SETTLEMENT REFERENCE]. Following the Level 1 ticket [TICKET REFERENCE] opened on [LEVEL 1 DATE], and in the absence of a substantive resolution within the Restaurant Partner Portal’s five-business-day SLA, we are escalating the Rs [DISPUTE AMOUNT Rs] disputed settlement to you as the named single point of contact for the account.</w:t>
      </w:r>
    </w:p>
    <w:p>
      <w:pPr>
        <w:spacing w:after="120"/>
        <w:jc w:val="left"/>
      </w:pPr>
      <w:r>
        <w:rPr>
          <w:rFonts w:ascii="Calibri" w:cs="Calibri" w:eastAsia="Calibri" w:hAnsi="Calibri"/>
          <w:sz w:val="22"/>
          <w:szCs w:val="22"/>
        </w:rPr>
        <w:t xml:space="preserve">The disputed amount includes an illustrative Section 194O deduction at 1 per cent on the gross order value including the disputed commission base. Under Section 194O of the Income-tax Act 1961 (Section 393 payment code 1011 from 1 April 2026), the deduction is on the gross amount of sales, and where the deduction has been applied on a base that includes amounts not attributable to the merchant’s supply (for example, promotional discounts routed through the commission line rather than a separate promotional-support line), the deduction is excess to the extent of that base. Please confirm the base against which the TDS at Rs [TDS AMOUNT ON DISPUTED BASE] (illustrative: Rs 4,800) has been computed and issue a corrected settlement.</w:t>
      </w:r>
    </w:p>
    <w:p>
      <w:pPr>
        <w:spacing w:after="120"/>
        <w:jc w:val="left"/>
      </w:pPr>
      <w:r>
        <w:rPr>
          <w:rFonts w:ascii="Calibri" w:cs="Calibri" w:eastAsia="Calibri" w:hAnsi="Calibri"/>
          <w:sz w:val="22"/>
          <w:szCs w:val="22"/>
        </w:rPr>
        <w:t xml:space="preserve">Where the TDS deposit has already been made, please arrange for a corrected quarterly TDS return under Section 200 so the excess is credited to the merchant’s Form 168 (or Form 26AS for pre-FY 2026-27 residuals). Concurrently, please confirm the Section 52 TCS on the disputed net value has been passed through in the operator’s GSTR-8 filing so that the corresponding credit appears in our GSTR-2B Table 6.</w:t>
      </w:r>
    </w:p>
    <w:p>
      <w:pPr>
        <w:spacing w:after="120"/>
        <w:jc w:val="left"/>
      </w:pPr>
      <w:r>
        <w:rPr>
          <w:rFonts w:ascii="Calibri" w:cs="Calibri" w:eastAsia="Calibri" w:hAnsi="Calibri"/>
          <w:sz w:val="22"/>
          <w:szCs w:val="22"/>
        </w:rPr>
        <w:t xml:space="preserve">We request a substantive response within three business days of this email. The dispute window closes on [DISPUTE WINDOW CLOSE DATE] and we would prefer to keep the resolution inside the account team rather than progress to the operations manager escalation under the platform’s Rule 5 grievance framework.</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3 — Operations Manager — Rule 5 grievance escalation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Operations Manager — Zomato Restaurant Partnerships (Regional / National as applicable)</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[ACCOUNT MANAGER NAME], Restaurant Partner Portal Support, Grievance Officer under Rule 5</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[TICKET REFERENCE]; Level 2 Escalation [ESCALATION REFERENCE]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Rule 5 grievance escalation — Settlement ID [SETTLEMENT REFERENCE] — Rs [DISPUTE AMOUNT Rs] unresolved through account team</w:t>
      </w:r>
    </w:p>
    <w:p>
      <w:pPr>
        <w:spacing w:after="120"/>
        <w:jc w:val="left"/>
      </w:pPr>
      <w:r>
        <w:rPr>
          <w:rFonts w:ascii="Calibri" w:cs="Calibri" w:eastAsia="Calibri" w:hAnsi="Calibri"/>
          <w:sz w:val="22"/>
          <w:szCs w:val="22"/>
        </w:rPr>
        <w:t xml:space="preserve">Dear Operations Manager,</w:t>
      </w:r>
    </w:p>
    <w:p>
      <w:pPr>
        <w:spacing w:after="120"/>
        <w:jc w:val="left"/>
      </w:pPr>
      <w:r>
        <w:rPr>
          <w:rFonts w:ascii="Calibri" w:cs="Calibri" w:eastAsia="Calibri" w:hAnsi="Calibri"/>
          <w:sz w:val="22"/>
          <w:szCs w:val="22"/>
        </w:rPr>
        <w:t xml:space="preserve">This is Day [DAY NUMBER] of 15 in the dispute window for Settlement ID [SETTLEMENT REFERENCE]. Following the Level 2 escalation [ESCALATION REFERENCE] to [ACCOUNT MANAGER NAME] on [LEVEL 2 DATE] and the absence of a substantive response from the account team within seven business days, we are escalating to the operations manager under the platform’s own grievance framework published in accordance with Rule 5 of the Consumer Protection (E-Commerce) Rules 2020 issued under the Consumer Protection Act 2019.</w:t>
      </w:r>
    </w:p>
    <w:p>
      <w:pPr>
        <w:spacing w:after="120"/>
        <w:jc w:val="left"/>
      </w:pPr>
      <w:r>
        <w:rPr>
          <w:rFonts w:ascii="Calibri" w:cs="Calibri" w:eastAsia="Calibri" w:hAnsi="Calibri"/>
          <w:sz w:val="22"/>
          <w:szCs w:val="22"/>
        </w:rPr>
        <w:t xml:space="preserve">The disputed amount of Rs [DISPUTE AMOUNT Rs] remains outstanding. Under Rule 5, the platform is required to publish the grievance officer’s name and contact details, resolve complaints within one month, and maintain a grievance redressal mechanism accessible to the merchant. The complaint reference is [COMPLAINT REFERENCE], filed on [DATE], and the resolution deadline under the platform’s own published policy is [RESOLUTION DEADLINE DATE].</w:t>
      </w:r>
    </w:p>
    <w:p>
      <w:pPr>
        <w:spacing w:after="120"/>
        <w:jc w:val="left"/>
      </w:pPr>
      <w:r>
        <w:rPr>
          <w:rFonts w:ascii="Calibri" w:cs="Calibri" w:eastAsia="Calibri" w:hAnsi="Calibri"/>
          <w:sz w:val="22"/>
          <w:szCs w:val="22"/>
        </w:rPr>
        <w:t xml:space="preserve">Attached is the full escalation trail — Level 1 portal ticket, Level 2 account manager email, order-level decomposition, and the Day 4 settlement decomposition workbook extract that traces the variance. The escalation ladder has been documented so the case can be evidenced if it progresses to a formal grievance officer complaint or to the consumer commission with appropriate jurisdiction.</w:t>
      </w:r>
    </w:p>
    <w:p>
      <w:pPr>
        <w:spacing w:after="120"/>
        <w:jc w:val="left"/>
      </w:pPr>
      <w:r>
        <w:rPr>
          <w:rFonts w:ascii="Calibri" w:cs="Calibri" w:eastAsia="Calibri" w:hAnsi="Calibri"/>
          <w:sz w:val="22"/>
          <w:szCs w:val="22"/>
        </w:rPr>
        <w:t xml:space="preserve">We request a written resolution within [NUMBER — commonly 5] business days of this escalation, and no later than the dispute window close of [DISPUTE WINDOW CLOSE DATE], failing which the case will be escalated to the key account director.</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Level 4 — Key Account Director — final in-platform escalation</w:t>
      </w:r>
    </w:p>
    <w:p>
      <w:pPr>
        <w:pStyle w:val="Heading3"/>
        <w:spacing w:after="80" w:before="180"/>
      </w:pPr>
      <w:r>
        <w:rPr>
          <w:rFonts w:ascii="Calibri" w:cs="Calibri" w:eastAsia="Calibri" w:hAnsi="Calibri"/>
          <w:b/>
          <w:bCs/>
          <w:color w:val="0B2545"/>
          <w:sz w:val="22"/>
          <w:szCs w:val="22"/>
        </w:rPr>
        <w:t xml:space="preserve">Addressee</w:t>
      </w:r>
    </w:p>
    <w:p>
      <w:pPr>
        <w:spacing w:after="40"/>
      </w:pPr>
      <w:r>
        <w:rPr>
          <w:rFonts w:ascii="Calibri" w:cs="Calibri" w:eastAsia="Calibri" w:hAnsi="Calibri"/>
          <w:b/>
          <w:bCs/>
          <w:color w:val="0B2545"/>
          <w:sz w:val="22"/>
          <w:szCs w:val="22"/>
        </w:rPr>
        <w:t xml:space="preserve">To:</w:t>
      </w:r>
      <w:r>
        <w:rPr>
          <w:rFonts w:ascii="Calibri" w:cs="Calibri" w:eastAsia="Calibri" w:hAnsi="Calibri"/>
          <w:sz w:val="22"/>
          <w:szCs w:val="22"/>
        </w:rPr>
        <w:t xml:space="preserve">  Key Account Director — Zomato Restaurant Partnerships</w:t>
      </w:r>
    </w:p>
    <w:p>
      <w:pPr>
        <w:spacing w:after="40"/>
      </w:pPr>
      <w:r>
        <w:rPr>
          <w:rFonts w:ascii="Calibri" w:cs="Calibri" w:eastAsia="Calibri" w:hAnsi="Calibri"/>
          <w:b/>
          <w:bCs/>
          <w:color w:val="0B2545"/>
          <w:sz w:val="22"/>
          <w:szCs w:val="22"/>
        </w:rPr>
        <w:t xml:space="preserve">Cc:</w:t>
      </w:r>
      <w:r>
        <w:rPr>
          <w:rFonts w:ascii="Calibri" w:cs="Calibri" w:eastAsia="Calibri" w:hAnsi="Calibri"/>
          <w:sz w:val="22"/>
          <w:szCs w:val="22"/>
        </w:rPr>
        <w:t xml:space="preserve">  Operations Manager, Grievance Officer under Rule 5, [ACCOUNT MANAGER NAME]</w:t>
      </w:r>
    </w:p>
    <w:p>
      <w:pPr>
        <w:spacing w:after="40"/>
      </w:pPr>
      <w:r>
        <w:rPr>
          <w:rFonts w:ascii="Calibri" w:cs="Calibri" w:eastAsia="Calibri" w:hAnsi="Calibri"/>
          <w:b/>
          <w:bCs/>
          <w:color w:val="0B2545"/>
          <w:sz w:val="22"/>
          <w:szCs w:val="22"/>
        </w:rPr>
        <w:t xml:space="preserve">Ref:</w:t>
      </w:r>
      <w:r>
        <w:rPr>
          <w:rFonts w:ascii="Calibri" w:cs="Calibri" w:eastAsia="Calibri" w:hAnsi="Calibri"/>
          <w:sz w:val="22"/>
          <w:szCs w:val="22"/>
        </w:rPr>
        <w:t xml:space="preserve">  Level 1 [TICKET REFERENCE]; Level 2 [ESCALATION REFERENCE]; Level 3 [COMPLAINT REFERENCE]</w:t>
      </w:r>
    </w:p>
    <w:p>
      <w:pPr>
        <w:pStyle w:val="Heading3"/>
        <w:spacing w:after="80" w:before="180"/>
      </w:pPr>
      <w:r>
        <w:rPr>
          <w:rFonts w:ascii="Calibri" w:cs="Calibri" w:eastAsia="Calibri" w:hAnsi="Calibri"/>
          <w:b/>
          <w:bCs/>
          <w:color w:val="0B2545"/>
          <w:sz w:val="22"/>
          <w:szCs w:val="22"/>
        </w:rPr>
        <w:t xml:space="preserve">Subject</w:t>
      </w:r>
    </w:p>
    <w:p>
      <w:pPr>
        <w:spacing w:after="120"/>
        <w:jc w:val="left"/>
      </w:pPr>
      <w:r>
        <w:rPr>
          <w:rFonts w:ascii="Calibri" w:cs="Calibri" w:eastAsia="Calibri" w:hAnsi="Calibri"/>
          <w:b/>
          <w:bCs/>
          <w:sz w:val="22"/>
          <w:szCs w:val="22"/>
        </w:rPr>
        <w:t xml:space="preserve">Subject: Key Account Director escalation — Settlement ID [SETTLEMENT REFERENCE] — Rs [DISPUTE AMOUNT Rs] — dispute window closing on [DISPUTE WINDOW CLOSE DATE]</w:t>
      </w:r>
    </w:p>
    <w:p>
      <w:pPr>
        <w:spacing w:after="120"/>
        <w:jc w:val="left"/>
      </w:pPr>
      <w:r>
        <w:rPr>
          <w:rFonts w:ascii="Calibri" w:cs="Calibri" w:eastAsia="Calibri" w:hAnsi="Calibri"/>
          <w:sz w:val="22"/>
          <w:szCs w:val="22"/>
        </w:rPr>
        <w:t xml:space="preserve">Dear Director,</w:t>
      </w:r>
    </w:p>
    <w:p>
      <w:pPr>
        <w:spacing w:after="120"/>
        <w:jc w:val="left"/>
      </w:pPr>
      <w:r>
        <w:rPr>
          <w:rFonts w:ascii="Calibri" w:cs="Calibri" w:eastAsia="Calibri" w:hAnsi="Calibri"/>
          <w:sz w:val="22"/>
          <w:szCs w:val="22"/>
        </w:rPr>
        <w:t xml:space="preserve">This is Day [DAY NUMBER] of 15 in the dispute window for Settlement ID [SETTLEMENT REFERENCE]. Following the escalation ladder run through Level 1 (portal ticket [TICKET REFERENCE]), Level 2 (single point of contact [ESCALATION REFERENCE]), and Level 3 (operations manager under Rule 5, complaint reference [COMPLAINT REFERENCE]) without resolution, and with the dispute window closing on [DISPUTE WINDOW CLOSE DATE], we are escalating to you as the key account director for the account.</w:t>
      </w:r>
    </w:p>
    <w:p>
      <w:pPr>
        <w:spacing w:after="120"/>
        <w:jc w:val="left"/>
      </w:pPr>
      <w:r>
        <w:rPr>
          <w:rFonts w:ascii="Calibri" w:cs="Calibri" w:eastAsia="Calibri" w:hAnsi="Calibri"/>
          <w:sz w:val="22"/>
          <w:szCs w:val="22"/>
        </w:rPr>
        <w:t xml:space="preserve">The disputed amount of Rs [DISPUTE AMOUNT Rs] is material to the merchant’s settlement cycle and represents a [PERCENTAGE]% variance against the expected payout for the week. The cumulative unresolved dispute amount across the account for the current settlement cycle is Rs [CUMULATIVE UNRESOLVED AMOUNT].</w:t>
      </w:r>
    </w:p>
    <w:p>
      <w:pPr>
        <w:spacing w:after="120"/>
        <w:jc w:val="left"/>
      </w:pPr>
      <w:r>
        <w:rPr>
          <w:rFonts w:ascii="Calibri" w:cs="Calibri" w:eastAsia="Calibri" w:hAnsi="Calibri"/>
          <w:sz w:val="22"/>
          <w:szCs w:val="22"/>
        </w:rPr>
        <w:t xml:space="preserve">We request a written resolution and the corrected settlement by [FINAL DEADLINE DATE], failing which the case will be escalated to the platform’s grievance officer under Rule 5 of the Consumer Protection (E-Commerce) Rules 2020 with a formal complaint copy to the consumer commission with appropriate jurisdiction. We would prefer to close the case inside the account relationship and continue the operating cadence without external escalation.</w:t>
      </w:r>
    </w:p>
    <w:p>
      <w:pPr>
        <w:spacing w:after="120"/>
        <w:jc w:val="left"/>
      </w:pPr>
      <w:r>
        <w:rPr>
          <w:rFonts w:ascii="Calibri" w:cs="Calibri" w:eastAsia="Calibri" w:hAnsi="Calibri"/>
          <w:sz w:val="22"/>
          <w:szCs w:val="22"/>
        </w:rPr>
        <w:t xml:space="preserve">Regards,</w:t>
      </w:r>
    </w:p>
    <w:p>
      <w:pPr>
        <w:spacing w:after="120"/>
        <w:jc w:val="left"/>
      </w:pPr>
      <w:r>
        <w:rPr>
          <w:rFonts w:ascii="Calibri" w:cs="Calibri" w:eastAsia="Calibri" w:hAnsi="Calibri"/>
          <w:b/>
          <w:bCs/>
          <w:sz w:val="22"/>
          <w:szCs w:val="22"/>
        </w:rPr>
        <w:t xml:space="preserve">[FINANCE CONTACT NAME], [DESIGNATION]</w:t>
      </w:r>
    </w:p>
    <w:p>
      <w:pPr>
        <w:spacing w:after="120"/>
        <w:jc w:val="left"/>
      </w:pPr>
      <w:r>
        <w:rPr>
          <w:rFonts w:ascii="Calibri" w:cs="Calibri" w:eastAsia="Calibri" w:hAnsi="Calibri"/>
          <w:sz w:val="22"/>
          <w:szCs w:val="22"/>
        </w:rPr>
        <w:t xml:space="preserve">[MERCHANT COMPANY NAME]  |  GSTIN [MERCHANT GSTIN]</w:t>
      </w:r>
    </w:p>
    <w:p>
      <w:pPr>
        <w:pStyle w:val="Heading2"/>
        <w:spacing w:after="100" w:before="240"/>
      </w:pPr>
      <w:r>
        <w:rPr>
          <w:rFonts w:ascii="Calibri" w:cs="Calibri" w:eastAsia="Calibri" w:hAnsi="Calibri"/>
          <w:b/>
          <w:bCs/>
          <w:color w:val="0B2545"/>
          <w:sz w:val="24"/>
          <w:szCs w:val="24"/>
        </w:rPr>
        <w:t xml:space="preserve">Signature block (dispatch copy)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sz w:val="22"/>
          <w:szCs w:val="22"/>
        </w:rPr>
        <w:t xml:space="preserve">Yours sincerely,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b/>
          <w:bCs/>
          <w:sz w:val="22"/>
          <w:szCs w:val="22"/>
        </w:rPr>
        <w:t xml:space="preserve">[SIGNATURE]</w:t>
      </w:r>
    </w:p>
    <w:p>
      <w:pPr>
        <w:spacing w:after="120"/>
        <w:jc w:val="left"/>
      </w:pPr>
      <w:r>
        <w:rPr>
          <w:rFonts w:ascii="Calibri" w:cs="Calibri" w:eastAsia="Calibri" w:hAnsi="Calibri"/>
          <w:sz w:val="22"/>
          <w:szCs w:val="22"/>
        </w:rPr>
        <w:t xml:space="preserve">[FINANCE CONTACT NAME]</w:t>
      </w:r>
    </w:p>
    <w:p>
      <w:pPr>
        <w:spacing w:after="120"/>
        <w:jc w:val="left"/>
      </w:pPr>
      <w:r>
        <w:rPr>
          <w:rFonts w:ascii="Calibri" w:cs="Calibri" w:eastAsia="Calibri" w:hAnsi="Calibri"/>
          <w:sz w:val="22"/>
          <w:szCs w:val="22"/>
        </w:rPr>
        <w:t xml:space="preserve">[DESIGNATION], [MERCHANT COMPANY NAME]</w:t>
      </w:r>
    </w:p>
    <w:p>
      <w:pPr>
        <w:spacing w:after="120"/>
        <w:jc w:val="left"/>
      </w:pPr>
      <w:r>
        <w:rPr>
          <w:rFonts w:ascii="Calibri" w:cs="Calibri" w:eastAsia="Calibri" w:hAnsi="Calibri"/>
          <w:sz w:val="22"/>
          <w:szCs w:val="22"/>
        </w:rPr>
        <w:t xml:space="preserve">For and on behalf of [MERCHANT LEGAL ENTITY]</w:t>
      </w:r>
    </w:p>
    <w:p>
      <w:pPr>
        <w:spacing w:after="120"/>
        <w:jc w:val="left"/>
      </w:pPr>
      <w:r>
        <w:rPr>
          <w:rFonts w:ascii="Calibri" w:cs="Calibri" w:eastAsia="Calibri" w:hAnsi="Calibri"/>
          <w:sz w:val="22"/>
          <w:szCs w:val="22"/>
        </w:rPr>
        <w:t xml:space="preserve"/>
      </w:r>
    </w:p>
    <w:p>
      <w:pPr>
        <w:spacing w:after="120"/>
        <w:jc w:val="left"/>
      </w:pPr>
      <w:r>
        <w:rPr>
          <w:rFonts w:ascii="Calibri" w:cs="Calibri" w:eastAsia="Calibri" w:hAnsi="Calibri"/>
          <w:b/>
          <w:bCs/>
          <w:color w:val="0B2545"/>
          <w:sz w:val="22"/>
          <w:szCs w:val="22"/>
        </w:rPr>
        <w:t xml:space="preserve">Enclosures:</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Settlement report / payout statement for the disputed period</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Order-level or reservation-level extract with the variance decomposition</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Ticket / case log correspondence trail (Level 1, Level 2, Level 3 as applicable)</w:t>
      </w:r>
    </w:p>
    <w:p>
      <w:pPr>
        <w:spacing w:after="60"/>
        <w:ind w:left="360" w:hanging="220"/>
      </w:pPr>
      <w:r>
        <w:rPr>
          <w:rFonts w:ascii="Calibri" w:cs="Calibri" w:eastAsia="Calibri" w:hAnsi="Calibri"/>
          <w:b/>
          <w:bCs/>
          <w:color w:val="0B2545"/>
          <w:sz w:val="22"/>
          <w:szCs w:val="22"/>
        </w:rPr>
        <w:t xml:space="preserve">•  </w:t>
      </w:r>
      <w:r>
        <w:rPr>
          <w:rFonts w:ascii="Calibri" w:cs="Calibri" w:eastAsia="Calibri" w:hAnsi="Calibri"/>
          <w:sz w:val="22"/>
          <w:szCs w:val="22"/>
        </w:rPr>
        <w:t xml:space="preserve">Prior escalation acknowledgements and reference numbers</w:t>
      </w:r>
    </w:p>
    <w:p>
      <w:pPr>
        <w:pStyle w:val="Heading2"/>
        <w:spacing w:after="100" w:before="240"/>
      </w:pPr>
      <w:r>
        <w:rPr>
          <w:rFonts w:ascii="Calibri" w:cs="Calibri" w:eastAsia="Calibri" w:hAnsi="Calibri"/>
          <w:b/>
          <w:bCs/>
          <w:color w:val="0B2545"/>
          <w:sz w:val="24"/>
          <w:szCs w:val="24"/>
        </w:rPr>
        <w:t xml:space="preserve">Customise before sending</w:t>
      </w:r>
    </w:p>
    <w:p>
      <w:pPr>
        <w:spacing w:after="120"/>
        <w:jc w:val="left"/>
      </w:pPr>
      <w:r>
        <w:rPr>
          <w:rFonts w:ascii="Calibri" w:cs="Calibri" w:eastAsia="Calibri" w:hAnsi="Calibri"/>
          <w:sz w:val="22"/>
          <w:szCs w:val="22"/>
        </w:rPr>
        <w:t xml:space="preserve">Replace [SETTLEMENT REFERENCE], [ZOMATO OUTLET ID], [SETTLEMENT DATE], [WEEK ENDING DATE], [DISPUTE AMOUNT Rs], [DISPUTE CATEGORY], [ACCOUNT MANAGER NAME], [TICKET REFERENCE], [ESCALATION REFERENCE], [COMPLAINT REFERENCE], [DISPUTE WINDOW CLOSE DATE], every [DAY NUMBER] countdown, and every illustrative rupee figure before dispatch. The commission-overcharge scenario is illustrative — the same body applies to a TCS pass-through dispute or an SLA penalty overreach with the specific paragraph adjusted. Never use a real restaurant name or GSTIN in the template file itself; keep placeholders until the dispatch copy is being prepared for a specific outlet.</w:t>
      </w:r>
    </w:p>
    <w:p>
      <w:pPr>
        <w:pStyle w:val="Heading2"/>
        <w:spacing w:after="100" w:before="240"/>
      </w:pPr>
      <w:r>
        <w:rPr>
          <w:rFonts w:ascii="Calibri" w:cs="Calibri" w:eastAsia="Calibri" w:hAnsi="Calibri"/>
          <w:b/>
          <w:bCs/>
          <w:color w:val="0B2545"/>
          <w:sz w:val="24"/>
          <w:szCs w:val="24"/>
        </w:rPr>
        <w:t xml:space="preserve">Cross-reference</w:t>
      </w:r>
    </w:p>
    <w:p>
      <w:pPr>
        <w:spacing w:after="120"/>
        <w:jc w:val="left"/>
      </w:pPr>
      <w:r>
        <w:rPr>
          <w:rFonts w:ascii="Calibri" w:cs="Calibri" w:eastAsia="Calibri" w:hAnsi="Calibri"/>
          <w:sz w:val="22"/>
          <w:szCs w:val="22"/>
        </w:rPr>
        <w:t xml:space="preserve">This letter template is Brief 14 of the Terra Insight Reconciliation Playbook. It is designed to sit alongside the Day 4 platform settlement decomposition workbook (Brief 8) that catches the variance, the bank reconciliation runbook (Brief 1) that traces the bank credit, and the Playbook pillar that sets the monthly close cadence within which the dispute window arithmetic is run.</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1"/>
      </w:pBdr>
      <w:spacing w:before="40"/>
    </w:pPr>
    <w:r>
      <w:rPr>
        <w:rFonts w:ascii="Calibri" w:cs="Calibri" w:eastAsia="Calibri" w:hAnsi="Calibri"/>
        <w:sz w:val="2"/>
        <w:szCs w:val="2"/>
      </w:rPr>
      <w:t xml:space="preserve"/>
    </w:r>
  </w:p>
  <w:p>
    <w:pPr>
      <w:jc w:val="left"/>
    </w:pPr>
    <w:r>
      <w:rPr>
        <w:rFonts w:ascii="Calibri" w:cs="Calibri" w:eastAsia="Calibri" w:hAnsi="Calibri"/>
        <w:i/>
        <w:iCs/>
        <w:color w:val="4A5568"/>
        <w:sz w:val="16"/>
        <w:szCs w:val="16"/>
      </w:rPr>
      <w:t xml:space="preserve">Illustrative template — customise before sending. </w:t>
    </w:r>
    <w:r>
      <w:rPr>
        <w:rFonts w:ascii="Calibri" w:cs="Calibri" w:eastAsia="Calibri" w:hAnsi="Calibri"/>
        <w:color w:val="4A5568"/>
        <w:sz w:val="16"/>
        <w:szCs w:val="16"/>
      </w:rPr>
      <w:t xml:space="preserve">Terra Insight Editorial Team  |  Version 1.0  |  2026-08-06</w:t>
    </w:r>
    <w:r>
      <w:rPr>
        <w:rFonts w:ascii="Calibri" w:cs="Calibri" w:eastAsia="Calibri" w:hAnsi="Calibri"/>
        <w:color w:val="4A5568"/>
        <w:sz w:val="16"/>
        <w:szCs w:val="16"/>
      </w:rPr>
      <w:t xml:space="preserve">   ·  Page </w:t>
    </w:r>
    <w:r>
      <w:rPr>
        <w:rFonts w:ascii="Calibri" w:cs="Calibri" w:eastAsia="Calibri" w:hAnsi="Calibri"/>
        <w:color w:val="4A5568"/>
        <w:sz w:val="16"/>
        <w:szCs w:val="16"/>
      </w:rPr>
      <w:fldChar w:fldCharType="begin"/>
      <w:instrText xml:space="preserve">PAGE</w:instrText>
      <w:fldChar w:fldCharType="separate"/>
      <w:fldChar w:fldCharType="end"/>
    </w:r>
    <w:r>
      <w:rPr>
        <w:rFonts w:ascii="Calibri" w:cs="Calibri" w:eastAsia="Calibri" w:hAnsi="Calibri"/>
        <w:color w:val="4A5568"/>
        <w:sz w:val="16"/>
        <w:szCs w:val="16"/>
      </w:rPr>
      <w:t xml:space="preserve"> of </w:t>
    </w:r>
    <w:r>
      <w:rPr>
        <w:rFonts w:ascii="Calibri" w:cs="Calibri" w:eastAsia="Calibri" w:hAnsi="Calibri"/>
        <w:color w:val="4A556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40"/>
      <w:jc w:val="left"/>
    </w:pPr>
    <w:r>
      <w:rPr>
        <w:rFonts w:ascii="Calibri" w:cs="Calibri" w:eastAsia="Calibri" w:hAnsi="Calibri"/>
        <w:b/>
        <w:bCs/>
        <w:color w:val="0B2545"/>
        <w:sz w:val="22"/>
        <w:szCs w:val="22"/>
      </w:rPr>
      <w:t xml:space="preserve">Terra Insight</w:t>
    </w:r>
    <w:r>
      <w:rPr>
        <w:rFonts w:ascii="Calibri" w:cs="Calibri" w:eastAsia="Calibri" w:hAnsi="Calibri"/>
        <w:color w:val="4A5568"/>
        <w:sz w:val="18"/>
        <w:szCs w:val="18"/>
      </w:rPr>
      <w:t xml:space="preserve">  |  Aggregator Settlement Dispute Letter Pack</w:t>
    </w:r>
  </w:p>
  <w:p>
    <w:pPr>
      <w:pBdr>
        <w:bottom w:val="single" w:color="CBD5E0" w:sz="6" w:space="1"/>
      </w:pBdr>
      <w:spacing w:after="120"/>
    </w:pPr>
    <w:r>
      <w:rPr>
        <w:rFonts w:ascii="Calibri" w:cs="Calibri" w:eastAsia="Calibri" w:hAnsi="Calibri"/>
        <w:sz w:val="2"/>
        <w:szCs w:val="2"/>
      </w:rP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Zomato Restaurant Partner Settlement Dispute Letter</dc:title>
  <dc:creator>Terra Insight Editorial Team</dc:creator>
  <dc:description>Zomato Restaurant Partner Portal settlement dispute letter template — Terra Insight Editorial Team.</dc:description>
  <cp:lastModifiedBy>Un-named</cp:lastModifiedBy>
  <cp:revision>1</cp:revision>
  <dcterms:created xsi:type="dcterms:W3CDTF">2026-08-16T05:22:44.837Z</dcterms:created>
  <dcterms:modified xsi:type="dcterms:W3CDTF">2026-08-16T05:22:44.837Z</dcterms:modified>
</cp:coreProperties>
</file>

<file path=docProps/custom.xml><?xml version="1.0" encoding="utf-8"?>
<Properties xmlns="http://schemas.openxmlformats.org/officeDocument/2006/custom-properties" xmlns:vt="http://schemas.openxmlformats.org/officeDocument/2006/docPropsVTypes"/>
</file>