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left"/>
      </w:pPr>
      <w:r>
        <w:rPr>
          <w:rFonts w:ascii="Calibri" w:cs="Calibri" w:eastAsia="Calibri" w:hAnsi="Calibri"/>
          <w:b/>
          <w:bCs/>
          <w:color w:val="0B2545"/>
          <w:sz w:val="48"/>
          <w:szCs w:val="48"/>
        </w:rPr>
        <w:t xml:space="preserve">Terra Insight</w:t>
      </w:r>
    </w:p>
    <w:p>
      <w:pPr>
        <w:pBdr>
          <w:bottom w:val="single" w:color="0B2545" w:sz="16" w:space="1"/>
        </w:pBdr>
        <w:spacing w:after="200"/>
      </w:pPr>
      <w:r>
        <w:rPr>
          <w:rFonts w:ascii="Calibri" w:cs="Calibri" w:eastAsia="Calibri" w:hAnsi="Calibri"/>
          <w:sz w:val="2"/>
          <w:szCs w:val="2"/>
        </w:rPr>
        <w:t xml:space="preserve"/>
      </w:r>
    </w:p>
    <w:p>
      <w:pPr>
        <w:spacing w:after="100" w:before="200"/>
      </w:pPr>
      <w:r>
        <w:rPr>
          <w:rFonts w:ascii="Calibri" w:cs="Calibri" w:eastAsia="Calibri" w:hAnsi="Calibri"/>
          <w:b/>
          <w:bCs/>
          <w:color w:val="0B2545"/>
          <w:sz w:val="40"/>
          <w:szCs w:val="40"/>
        </w:rPr>
        <w:t xml:space="preserve">Aggregator Settlement Dispute Letter Pack</w:t>
      </w:r>
    </w:p>
    <w:p>
      <w:pPr>
        <w:spacing w:after="240"/>
      </w:pPr>
      <w:r>
        <w:rPr>
          <w:rFonts w:ascii="Calibri" w:cs="Calibri" w:eastAsia="Calibri" w:hAnsi="Calibri"/>
          <w:color w:val="4A5568"/>
          <w:sz w:val="26"/>
          <w:szCs w:val="26"/>
        </w:rPr>
        <w:t xml:space="preserve">4 Platform-Specific Templates for Zomato, Swiggy, Amazon, and MakeMyTrip</w:t>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3200"/>
        <w:gridCol w:w="6400"/>
      </w:tblGrid>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Version</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1.0</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Published</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2026-08-06</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Attribution</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Terra Insight Editorial Team</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Cluster</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Reconciliation Playbook — Brief 14</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Companion workbook</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Day 4 platform settlement decomposition (Brief 8)</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Escalation depth</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Four levels — POC → SPOC → Operations Manager → Key Account Director</w:t>
            </w:r>
          </w:p>
        </w:tc>
      </w:tr>
    </w:tbl>
    <w:p>
      <w:pPr>
        <w:spacing w:after="120"/>
        <w:jc w:val="left"/>
      </w:pPr>
      <w:r>
        <w:rPr>
          <w:rFonts w:ascii="Calibri" w:cs="Calibri" w:eastAsia="Calibri" w:hAnsi="Calibri"/>
          <w:sz w:val="22"/>
          <w:szCs w:val="22"/>
        </w:rPr>
        <w:t xml:space="preserve"/>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9600"/>
      </w:tblGrid>
      <w:tr>
        <w:tc>
          <w:tcPr>
            <w:tcW w:type="dxa" w:w="9600"/>
            <w:tcBorders>
              <w:top w:val="single" w:color="F59E0B" w:sz="4"/>
              <w:left w:val="single" w:color="F59E0B" w:sz="4"/>
              <w:bottom w:val="single" w:color="F59E0B" w:sz="4"/>
              <w:right w:val="single" w:color="F59E0B" w:sz="4"/>
            </w:tcBorders>
            <w:shd w:fill="FFF4E5" w:color="auto" w:val="clear"/>
            <w:tcMar>
              <w:top w:type="dxa" w:w="160"/>
              <w:left w:type="dxa" w:w="180"/>
              <w:bottom w:type="dxa" w:w="160"/>
              <w:right w:type="dxa" w:w="180"/>
            </w:tcMar>
          </w:tcPr>
          <w:p>
            <w:pPr>
              <w:spacing w:after="40"/>
            </w:pPr>
            <w:r>
              <w:rPr>
                <w:rFonts w:ascii="Calibri" w:cs="Calibri" w:eastAsia="Calibri" w:hAnsi="Calibri"/>
                <w:b/>
                <w:bCs/>
                <w:color w:val="92400E"/>
                <w:sz w:val="22"/>
                <w:szCs w:val="22"/>
              </w:rPr>
              <w:t xml:space="preserve">Customise every letter before sending.</w:t>
            </w:r>
          </w:p>
          <w:p>
            <w:r>
              <w:rPr>
                <w:rFonts w:ascii="Calibri" w:cs="Calibri" w:eastAsia="Calibri" w:hAnsi="Calibri"/>
                <w:color w:val="92400E"/>
                <w:sz w:val="20"/>
                <w:szCs w:val="20"/>
              </w:rPr>
              <w:t xml:space="preserve">Every field in [SQUARE BRACKETS] is a placeholder. Every rupee figure is illustrative. Replace merchant details, ticket references, settlement IDs, dispute window countdowns, and all quoted amounts against your own Day 4 decomposition workbook before dispatch. Do not send any letter in the pack without a named recipient and a live ticket reference.</w:t>
            </w:r>
          </w:p>
        </w:tc>
      </w:tr>
    </w:tbl>
    <w:p>
      <w:pPr>
        <w:spacing w:after="120"/>
        <w:jc w:val="left"/>
      </w:pPr>
      <w:r>
        <w:rPr>
          <w:rFonts w:ascii="Calibri" w:cs="Calibri" w:eastAsia="Calibri" w:hAnsi="Calibri"/>
          <w:sz w:val="22"/>
          <w:szCs w:val="22"/>
        </w:rPr>
        <w:t xml:space="preserve"/>
      </w:r>
    </w:p>
    <w:p>
      <w:pPr>
        <w:pStyle w:val="Heading2"/>
        <w:spacing w:after="100" w:before="240"/>
      </w:pPr>
      <w:r>
        <w:rPr>
          <w:rFonts w:ascii="Calibri" w:cs="Calibri" w:eastAsia="Calibri" w:hAnsi="Calibri"/>
          <w:b/>
          <w:bCs/>
          <w:color w:val="0B2545"/>
          <w:sz w:val="24"/>
          <w:szCs w:val="24"/>
        </w:rPr>
        <w:t xml:space="preserve">What this pack contains</w:t>
      </w:r>
    </w:p>
    <w:p>
      <w:pPr>
        <w:spacing w:after="120"/>
        <w:jc w:val="left"/>
      </w:pPr>
      <w:r>
        <w:rPr>
          <w:rFonts w:ascii="Calibri" w:cs="Calibri" w:eastAsia="Calibri" w:hAnsi="Calibri"/>
          <w:sz w:val="22"/>
          <w:szCs w:val="22"/>
        </w:rPr>
        <w:t xml:space="preserve">This pack delivers one dispute letter template per major aggregator platform an Indian merchant transacts on. Each template carries four escalation levels in-line — the portal support officer (POC) ticket body, the single point of contact (SPOC) escalation, the operations manager escalation citing Rule 5 of the Consumer Protection (E-Commerce) Rules 2020, and the key account director escalation invoked when the dispute value is material and the window is close to expiry. The templates are calibrated to each platform’s specific dispute window, portal path, statutory anchors, and escalation ladder.</w:t>
      </w:r>
    </w:p>
    <w:p>
      <w:pPr>
        <w:spacing w:after="120"/>
        <w:jc w:val="left"/>
      </w:pPr>
      <w:r>
        <w:rPr>
          <w:rFonts w:ascii="Calibri" w:cs="Calibri" w:eastAsia="Calibri" w:hAnsi="Calibri"/>
          <w:sz w:val="22"/>
          <w:szCs w:val="22"/>
        </w:rPr>
        <w:t xml:space="preserve">The pack is designed to sit alongside the Day 4 platform settlement decomposition workbook (Brief 8 in the Reconciliation Playbook). The workbook catches the variance; this pack recovers it. Together they form the outward-side detection and recovery loop that a manual finance team runs against every aggregator platform in the merchant’s stack.</w:t>
      </w:r>
    </w:p>
    <w:p>
      <w:pPr>
        <w:pStyle w:val="Heading2"/>
        <w:spacing w:after="100" w:before="240"/>
      </w:pPr>
      <w:r>
        <w:rPr>
          <w:rFonts w:ascii="Calibri" w:cs="Calibri" w:eastAsia="Calibri" w:hAnsi="Calibri"/>
          <w:b/>
          <w:bCs/>
          <w:color w:val="0B2545"/>
          <w:sz w:val="24"/>
          <w:szCs w:val="24"/>
        </w:rPr>
        <w:t xml:space="preserve">Letter index</w:t>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800"/>
        <w:gridCol w:w="3400"/>
        <w:gridCol w:w="1800"/>
        <w:gridCol w:w="3600"/>
      </w:tblGrid>
      <w:tr>
        <w:trPr>
          <w:tblHeader/>
        </w:trPr>
        <w:tc>
          <w:tcPr>
            <w:tcW w:type="dxa" w:w="800"/>
            <w:shd w:fill="0B2545" w:color="auto" w:val="clear"/>
            <w:tcMar>
              <w:top w:type="dxa" w:w="100"/>
              <w:left w:type="dxa" w:w="120"/>
              <w:bottom w:type="dxa" w:w="100"/>
              <w:right w:type="dxa" w:w="120"/>
            </w:tcMar>
          </w:tcPr>
          <w:p>
            <w:r>
              <w:rPr>
                <w:rFonts w:ascii="Calibri" w:cs="Calibri" w:eastAsia="Calibri" w:hAnsi="Calibri"/>
                <w:b/>
                <w:bCs/>
                <w:color w:val="FFFFFF"/>
                <w:sz w:val="22"/>
                <w:szCs w:val="22"/>
              </w:rPr>
              <w:t xml:space="preserve">#</w:t>
            </w:r>
          </w:p>
        </w:tc>
        <w:tc>
          <w:tcPr>
            <w:tcW w:type="dxa" w:w="3400"/>
            <w:shd w:fill="0B2545" w:color="auto" w:val="clear"/>
            <w:tcMar>
              <w:top w:type="dxa" w:w="100"/>
              <w:left w:type="dxa" w:w="120"/>
              <w:bottom w:type="dxa" w:w="100"/>
              <w:right w:type="dxa" w:w="120"/>
            </w:tcMar>
          </w:tcPr>
          <w:p>
            <w:r>
              <w:rPr>
                <w:rFonts w:ascii="Calibri" w:cs="Calibri" w:eastAsia="Calibri" w:hAnsi="Calibri"/>
                <w:b/>
                <w:bCs/>
                <w:color w:val="FFFFFF"/>
                <w:sz w:val="22"/>
                <w:szCs w:val="22"/>
              </w:rPr>
              <w:t xml:space="preserve">Platform</w:t>
            </w:r>
          </w:p>
        </w:tc>
        <w:tc>
          <w:tcPr>
            <w:tcW w:type="dxa" w:w="1800"/>
            <w:shd w:fill="0B2545" w:color="auto" w:val="clear"/>
            <w:tcMar>
              <w:top w:type="dxa" w:w="100"/>
              <w:left w:type="dxa" w:w="120"/>
              <w:bottom w:type="dxa" w:w="100"/>
              <w:right w:type="dxa" w:w="120"/>
            </w:tcMar>
          </w:tcPr>
          <w:p>
            <w:r>
              <w:rPr>
                <w:rFonts w:ascii="Calibri" w:cs="Calibri" w:eastAsia="Calibri" w:hAnsi="Calibri"/>
                <w:b/>
                <w:bCs/>
                <w:color w:val="FFFFFF"/>
                <w:sz w:val="22"/>
                <w:szCs w:val="22"/>
              </w:rPr>
              <w:t xml:space="preserve">Dispute window</w:t>
            </w:r>
          </w:p>
        </w:tc>
        <w:tc>
          <w:tcPr>
            <w:tcW w:type="dxa" w:w="3600"/>
            <w:shd w:fill="0B2545" w:color="auto" w:val="clear"/>
            <w:tcMar>
              <w:top w:type="dxa" w:w="100"/>
              <w:left w:type="dxa" w:w="120"/>
              <w:bottom w:type="dxa" w:w="100"/>
              <w:right w:type="dxa" w:w="120"/>
            </w:tcMar>
          </w:tcPr>
          <w:p>
            <w:r>
              <w:rPr>
                <w:rFonts w:ascii="Calibri" w:cs="Calibri" w:eastAsia="Calibri" w:hAnsi="Calibri"/>
                <w:b/>
                <w:bCs/>
                <w:color w:val="FFFFFF"/>
                <w:sz w:val="22"/>
                <w:szCs w:val="22"/>
              </w:rPr>
              <w:t xml:space="preserve">File</w:t>
            </w:r>
          </w:p>
        </w:tc>
      </w:tr>
      <w:tr>
        <w:trPr>
          <w:tblHeader w:val="false"/>
        </w:trPr>
        <w:tc>
          <w:tcPr>
            <w:tcW w:type="dxa" w:w="800"/>
            <w:tcMar>
              <w:top w:type="dxa" w:w="100"/>
              <w:left w:type="dxa" w:w="120"/>
              <w:bottom w:type="dxa" w:w="100"/>
              <w:right w:type="dxa" w:w="120"/>
            </w:tcMar>
          </w:tcPr>
          <w:p>
            <w:r>
              <w:rPr>
                <w:rFonts w:ascii="Calibri" w:cs="Calibri" w:eastAsia="Calibri" w:hAnsi="Calibri"/>
                <w:b w:val="false"/>
                <w:bCs w:val="false"/>
                <w:color w:val="111827"/>
                <w:sz w:val="22"/>
                <w:szCs w:val="22"/>
              </w:rPr>
              <w:t xml:space="preserve">01</w:t>
            </w:r>
          </w:p>
        </w:tc>
        <w:tc>
          <w:tcPr>
            <w:tcW w:type="dxa" w:w="3400"/>
            <w:tcMar>
              <w:top w:type="dxa" w:w="100"/>
              <w:left w:type="dxa" w:w="120"/>
              <w:bottom w:type="dxa" w:w="100"/>
              <w:right w:type="dxa" w:w="120"/>
            </w:tcMar>
          </w:tcPr>
          <w:p>
            <w:r>
              <w:rPr>
                <w:rFonts w:ascii="Calibri" w:cs="Calibri" w:eastAsia="Calibri" w:hAnsi="Calibri"/>
                <w:b w:val="false"/>
                <w:bCs w:val="false"/>
                <w:color w:val="111827"/>
                <w:sz w:val="22"/>
                <w:szCs w:val="22"/>
              </w:rPr>
              <w:t xml:space="preserve">Zomato Restaurant Partner Portal</w:t>
            </w:r>
          </w:p>
        </w:tc>
        <w:tc>
          <w:tcPr>
            <w:tcW w:type="dxa" w:w="1800"/>
            <w:tcMar>
              <w:top w:type="dxa" w:w="100"/>
              <w:left w:type="dxa" w:w="120"/>
              <w:bottom w:type="dxa" w:w="100"/>
              <w:right w:type="dxa" w:w="120"/>
            </w:tcMar>
          </w:tcPr>
          <w:p>
            <w:r>
              <w:rPr>
                <w:rFonts w:ascii="Calibri" w:cs="Calibri" w:eastAsia="Calibri" w:hAnsi="Calibri"/>
                <w:b w:val="false"/>
                <w:bCs w:val="false"/>
                <w:color w:val="111827"/>
                <w:sz w:val="22"/>
                <w:szCs w:val="22"/>
              </w:rPr>
              <w:t xml:space="preserve">15 days from settlement date</w:t>
            </w:r>
          </w:p>
        </w:tc>
        <w:tc>
          <w:tcPr>
            <w:tcW w:type="dxa" w:w="3600"/>
            <w:tcMar>
              <w:top w:type="dxa" w:w="100"/>
              <w:left w:type="dxa" w:w="120"/>
              <w:bottom w:type="dxa" w:w="100"/>
              <w:right w:type="dxa" w:w="120"/>
            </w:tcMar>
          </w:tcPr>
          <w:p>
            <w:r>
              <w:rPr>
                <w:rFonts w:ascii="Calibri" w:cs="Calibri" w:eastAsia="Calibri" w:hAnsi="Calibri"/>
                <w:b w:val="false"/>
                <w:bCs w:val="false"/>
                <w:color w:val="111827"/>
                <w:sz w:val="22"/>
                <w:szCs w:val="22"/>
              </w:rPr>
              <w:t xml:space="preserve">01-Zomato-Restaurant-Partner-Dispute.docx</w:t>
            </w:r>
          </w:p>
        </w:tc>
      </w:tr>
      <w:tr>
        <w:trPr>
          <w:tblHeader w:val="false"/>
        </w:trPr>
        <w:tc>
          <w:tcPr>
            <w:tcW w:type="dxa" w:w="800"/>
            <w:tcMar>
              <w:top w:type="dxa" w:w="100"/>
              <w:left w:type="dxa" w:w="120"/>
              <w:bottom w:type="dxa" w:w="100"/>
              <w:right w:type="dxa" w:w="120"/>
            </w:tcMar>
          </w:tcPr>
          <w:p>
            <w:r>
              <w:rPr>
                <w:rFonts w:ascii="Calibri" w:cs="Calibri" w:eastAsia="Calibri" w:hAnsi="Calibri"/>
                <w:b w:val="false"/>
                <w:bCs w:val="false"/>
                <w:color w:val="111827"/>
                <w:sz w:val="22"/>
                <w:szCs w:val="22"/>
              </w:rPr>
              <w:t xml:space="preserve">02</w:t>
            </w:r>
          </w:p>
        </w:tc>
        <w:tc>
          <w:tcPr>
            <w:tcW w:type="dxa" w:w="3400"/>
            <w:tcMar>
              <w:top w:type="dxa" w:w="100"/>
              <w:left w:type="dxa" w:w="120"/>
              <w:bottom w:type="dxa" w:w="100"/>
              <w:right w:type="dxa" w:w="120"/>
            </w:tcMar>
          </w:tcPr>
          <w:p>
            <w:r>
              <w:rPr>
                <w:rFonts w:ascii="Calibri" w:cs="Calibri" w:eastAsia="Calibri" w:hAnsi="Calibri"/>
                <w:b w:val="false"/>
                <w:bCs w:val="false"/>
                <w:color w:val="111827"/>
                <w:sz w:val="22"/>
                <w:szCs w:val="22"/>
              </w:rPr>
              <w:t xml:space="preserve">Swiggy Partner App</w:t>
            </w:r>
          </w:p>
        </w:tc>
        <w:tc>
          <w:tcPr>
            <w:tcW w:type="dxa" w:w="1800"/>
            <w:tcMar>
              <w:top w:type="dxa" w:w="100"/>
              <w:left w:type="dxa" w:w="120"/>
              <w:bottom w:type="dxa" w:w="100"/>
              <w:right w:type="dxa" w:w="120"/>
            </w:tcMar>
          </w:tcPr>
          <w:p>
            <w:r>
              <w:rPr>
                <w:rFonts w:ascii="Calibri" w:cs="Calibri" w:eastAsia="Calibri" w:hAnsi="Calibri"/>
                <w:b w:val="false"/>
                <w:bCs w:val="false"/>
                <w:color w:val="111827"/>
                <w:sz w:val="22"/>
                <w:szCs w:val="22"/>
              </w:rPr>
              <w:t xml:space="preserve">21 days from settlement date</w:t>
            </w:r>
          </w:p>
        </w:tc>
        <w:tc>
          <w:tcPr>
            <w:tcW w:type="dxa" w:w="3600"/>
            <w:tcMar>
              <w:top w:type="dxa" w:w="100"/>
              <w:left w:type="dxa" w:w="120"/>
              <w:bottom w:type="dxa" w:w="100"/>
              <w:right w:type="dxa" w:w="120"/>
            </w:tcMar>
          </w:tcPr>
          <w:p>
            <w:r>
              <w:rPr>
                <w:rFonts w:ascii="Calibri" w:cs="Calibri" w:eastAsia="Calibri" w:hAnsi="Calibri"/>
                <w:b w:val="false"/>
                <w:bCs w:val="false"/>
                <w:color w:val="111827"/>
                <w:sz w:val="22"/>
                <w:szCs w:val="22"/>
              </w:rPr>
              <w:t xml:space="preserve">02-Swiggy-Partner-Dispute.docx</w:t>
            </w:r>
          </w:p>
        </w:tc>
      </w:tr>
      <w:tr>
        <w:trPr>
          <w:tblHeader w:val="false"/>
        </w:trPr>
        <w:tc>
          <w:tcPr>
            <w:tcW w:type="dxa" w:w="800"/>
            <w:tcMar>
              <w:top w:type="dxa" w:w="100"/>
              <w:left w:type="dxa" w:w="120"/>
              <w:bottom w:type="dxa" w:w="100"/>
              <w:right w:type="dxa" w:w="120"/>
            </w:tcMar>
          </w:tcPr>
          <w:p>
            <w:r>
              <w:rPr>
                <w:rFonts w:ascii="Calibri" w:cs="Calibri" w:eastAsia="Calibri" w:hAnsi="Calibri"/>
                <w:b w:val="false"/>
                <w:bCs w:val="false"/>
                <w:color w:val="111827"/>
                <w:sz w:val="22"/>
                <w:szCs w:val="22"/>
              </w:rPr>
              <w:t xml:space="preserve">03</w:t>
            </w:r>
          </w:p>
        </w:tc>
        <w:tc>
          <w:tcPr>
            <w:tcW w:type="dxa" w:w="3400"/>
            <w:tcMar>
              <w:top w:type="dxa" w:w="100"/>
              <w:left w:type="dxa" w:w="120"/>
              <w:bottom w:type="dxa" w:w="100"/>
              <w:right w:type="dxa" w:w="120"/>
            </w:tcMar>
          </w:tcPr>
          <w:p>
            <w:r>
              <w:rPr>
                <w:rFonts w:ascii="Calibri" w:cs="Calibri" w:eastAsia="Calibri" w:hAnsi="Calibri"/>
                <w:b w:val="false"/>
                <w:bCs w:val="false"/>
                <w:color w:val="111827"/>
                <w:sz w:val="22"/>
                <w:szCs w:val="22"/>
              </w:rPr>
              <w:t xml:space="preserve">Amazon Seller Central</w:t>
            </w:r>
          </w:p>
        </w:tc>
        <w:tc>
          <w:tcPr>
            <w:tcW w:type="dxa" w:w="1800"/>
            <w:tcMar>
              <w:top w:type="dxa" w:w="100"/>
              <w:left w:type="dxa" w:w="120"/>
              <w:bottom w:type="dxa" w:w="100"/>
              <w:right w:type="dxa" w:w="120"/>
            </w:tcMar>
          </w:tcPr>
          <w:p>
            <w:r>
              <w:rPr>
                <w:rFonts w:ascii="Calibri" w:cs="Calibri" w:eastAsia="Calibri" w:hAnsi="Calibri"/>
                <w:b w:val="false"/>
                <w:bCs w:val="false"/>
                <w:color w:val="111827"/>
                <w:sz w:val="22"/>
                <w:szCs w:val="22"/>
              </w:rPr>
              <w:t xml:space="preserve">7 days from settlement date (highest urgency)</w:t>
            </w:r>
          </w:p>
        </w:tc>
        <w:tc>
          <w:tcPr>
            <w:tcW w:type="dxa" w:w="3600"/>
            <w:tcMar>
              <w:top w:type="dxa" w:w="100"/>
              <w:left w:type="dxa" w:w="120"/>
              <w:bottom w:type="dxa" w:w="100"/>
              <w:right w:type="dxa" w:w="120"/>
            </w:tcMar>
          </w:tcPr>
          <w:p>
            <w:r>
              <w:rPr>
                <w:rFonts w:ascii="Calibri" w:cs="Calibri" w:eastAsia="Calibri" w:hAnsi="Calibri"/>
                <w:b w:val="false"/>
                <w:bCs w:val="false"/>
                <w:color w:val="111827"/>
                <w:sz w:val="22"/>
                <w:szCs w:val="22"/>
              </w:rPr>
              <w:t xml:space="preserve">03-Amazon-Seller-Central-Dispute.docx</w:t>
            </w:r>
          </w:p>
        </w:tc>
      </w:tr>
      <w:tr>
        <w:trPr>
          <w:tblHeader w:val="false"/>
        </w:trPr>
        <w:tc>
          <w:tcPr>
            <w:tcW w:type="dxa" w:w="800"/>
            <w:tcMar>
              <w:top w:type="dxa" w:w="100"/>
              <w:left w:type="dxa" w:w="120"/>
              <w:bottom w:type="dxa" w:w="100"/>
              <w:right w:type="dxa" w:w="120"/>
            </w:tcMar>
          </w:tcPr>
          <w:p>
            <w:r>
              <w:rPr>
                <w:rFonts w:ascii="Calibri" w:cs="Calibri" w:eastAsia="Calibri" w:hAnsi="Calibri"/>
                <w:b w:val="false"/>
                <w:bCs w:val="false"/>
                <w:color w:val="111827"/>
                <w:sz w:val="22"/>
                <w:szCs w:val="22"/>
              </w:rPr>
              <w:t xml:space="preserve">04</w:t>
            </w:r>
          </w:p>
        </w:tc>
        <w:tc>
          <w:tcPr>
            <w:tcW w:type="dxa" w:w="3400"/>
            <w:tcMar>
              <w:top w:type="dxa" w:w="100"/>
              <w:left w:type="dxa" w:w="120"/>
              <w:bottom w:type="dxa" w:w="100"/>
              <w:right w:type="dxa" w:w="120"/>
            </w:tcMar>
          </w:tcPr>
          <w:p>
            <w:r>
              <w:rPr>
                <w:rFonts w:ascii="Calibri" w:cs="Calibri" w:eastAsia="Calibri" w:hAnsi="Calibri"/>
                <w:b w:val="false"/>
                <w:bCs w:val="false"/>
                <w:color w:val="111827"/>
                <w:sz w:val="22"/>
                <w:szCs w:val="22"/>
              </w:rPr>
              <w:t xml:space="preserve">MakeMyTrip Hotel Extranet</w:t>
            </w:r>
          </w:p>
        </w:tc>
        <w:tc>
          <w:tcPr>
            <w:tcW w:type="dxa" w:w="1800"/>
            <w:tcMar>
              <w:top w:type="dxa" w:w="100"/>
              <w:left w:type="dxa" w:w="120"/>
              <w:bottom w:type="dxa" w:w="100"/>
              <w:right w:type="dxa" w:w="120"/>
            </w:tcMar>
          </w:tcPr>
          <w:p>
            <w:r>
              <w:rPr>
                <w:rFonts w:ascii="Calibri" w:cs="Calibri" w:eastAsia="Calibri" w:hAnsi="Calibri"/>
                <w:b w:val="false"/>
                <w:bCs w:val="false"/>
                <w:color w:val="111827"/>
                <w:sz w:val="22"/>
                <w:szCs w:val="22"/>
              </w:rPr>
              <w:t xml:space="preserve">30 days from settlement date</w:t>
            </w:r>
          </w:p>
        </w:tc>
        <w:tc>
          <w:tcPr>
            <w:tcW w:type="dxa" w:w="3600"/>
            <w:tcMar>
              <w:top w:type="dxa" w:w="100"/>
              <w:left w:type="dxa" w:w="120"/>
              <w:bottom w:type="dxa" w:w="100"/>
              <w:right w:type="dxa" w:w="120"/>
            </w:tcMar>
          </w:tcPr>
          <w:p>
            <w:r>
              <w:rPr>
                <w:rFonts w:ascii="Calibri" w:cs="Calibri" w:eastAsia="Calibri" w:hAnsi="Calibri"/>
                <w:b w:val="false"/>
                <w:bCs w:val="false"/>
                <w:color w:val="111827"/>
                <w:sz w:val="22"/>
                <w:szCs w:val="22"/>
              </w:rPr>
              <w:t xml:space="preserve">04-MakeMyTrip-Hotel-Extranet-Dispute.docx</w:t>
            </w:r>
          </w:p>
        </w:tc>
      </w:tr>
    </w:tbl>
    <w:p>
      <w:pPr>
        <w:spacing w:after="120"/>
        <w:jc w:val="left"/>
      </w:pPr>
      <w:r>
        <w:rPr>
          <w:rFonts w:ascii="Calibri" w:cs="Calibri" w:eastAsia="Calibri" w:hAnsi="Calibri"/>
          <w:sz w:val="22"/>
          <w:szCs w:val="22"/>
        </w:rPr>
        <w:t xml:space="preserve"/>
      </w:r>
    </w:p>
    <w:p>
      <w:pPr>
        <w:pStyle w:val="Heading2"/>
        <w:spacing w:after="100" w:before="240"/>
      </w:pPr>
      <w:r>
        <w:rPr>
          <w:rFonts w:ascii="Calibri" w:cs="Calibri" w:eastAsia="Calibri" w:hAnsi="Calibri"/>
          <w:b/>
          <w:bCs/>
          <w:color w:val="0B2545"/>
          <w:sz w:val="24"/>
          <w:szCs w:val="24"/>
        </w:rPr>
        <w:t xml:space="preserve">Dispute window discipline</w:t>
      </w:r>
    </w:p>
    <w:p>
      <w:pPr>
        <w:spacing w:after="120"/>
        <w:jc w:val="left"/>
      </w:pPr>
      <w:r>
        <w:rPr>
          <w:rFonts w:ascii="Calibri" w:cs="Calibri" w:eastAsia="Calibri" w:hAnsi="Calibri"/>
          <w:sz w:val="22"/>
          <w:szCs w:val="22"/>
        </w:rPr>
        <w:t xml:space="preserve">The four windows govern when each letter has to go out. The Day 4 workbook catches the variance; the letter must land inside the window. Amazon is the tightest — a variance caught on Day 4 leaves three business days for dispatch, first response, and Level 2 escalation. Keep the Amazon template at the front of the pack; keep the MakeMyTrip template at the back but do not treat its 30-day window as a licence to delay past the reservation manager’s evidence retention cycle at Day 21.</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Amazon — 7 days from settlement date. Auto-closed on Day 8. Dispatch by Day 4.</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Zomato — 15 days from settlement date. Auto-closed on Day 16. Dispatch by Day 6.</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Swiggy — 21 days from settlement date. Auto-closed on Day 22. Dispatch by Day 8.</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MakeMyTrip — 30 days from settlement date. Evidence starts degrading at Day 21. Dispatch by Day 10.</w:t>
      </w:r>
    </w:p>
    <w:p>
      <w:pPr>
        <w:pStyle w:val="Heading2"/>
        <w:spacing w:after="100" w:before="240"/>
      </w:pPr>
      <w:r>
        <w:rPr>
          <w:rFonts w:ascii="Calibri" w:cs="Calibri" w:eastAsia="Calibri" w:hAnsi="Calibri"/>
          <w:b/>
          <w:bCs/>
          <w:color w:val="0B2545"/>
          <w:sz w:val="24"/>
          <w:szCs w:val="24"/>
        </w:rPr>
        <w:t xml:space="preserve">Statutory anchors used across the pack</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Section 194O, Income-tax Act 1961 — 1% TDS on gross e-commerce participant payments (Section 393 payment code 1011 from 1 April 2026).</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Section 52, CGST Act 2017 — 0.5% CGST + 0.5% SGST intra-state, 1% IGST inter-state e-commerce operator TCS on the net value of taxable supplies.</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Rule 46, CGST Rules 2017 — tax invoice content required for the operator commission GST to be ITC-eligible.</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Rule 5, Consumer Protection (E-Commerce) Rules 2020 — grievance officer duty, one-month resolution SLA.</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Payment and Settlement Systems Act 2007 + RBI Master Direction on Payment Aggregators and Payment Gateways — 3 working days to refund a mis-collected amount to merchant escrow.</w:t>
      </w:r>
    </w:p>
    <w:p>
      <w:pPr>
        <w:pStyle w:val="Heading2"/>
        <w:spacing w:after="100" w:before="240"/>
      </w:pPr>
      <w:r>
        <w:rPr>
          <w:rFonts w:ascii="Calibri" w:cs="Calibri" w:eastAsia="Calibri" w:hAnsi="Calibri"/>
          <w:b/>
          <w:bCs/>
          <w:color w:val="0B2545"/>
          <w:sz w:val="24"/>
          <w:szCs w:val="24"/>
        </w:rPr>
        <w:t xml:space="preserve">How to use this pack</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Open the platform-specific template on the Day 4 decomposition morning as soon as the variance is caught.</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Fill in every [SQUARE BRACKET] placeholder against your own ledger and the platform’s settlement report.</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Replace every illustrative rupee figure with the actual disputed amount from the workbook.</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Dispatch the Level 1 ticket body via the platform portal on Day 5 (Day 4 for Amazon).</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If the platform’s published response SLA lapses without resolution, open the same document and dispatch the Level 2 SPOC email.</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Escalate to Level 3 (operations manager, Rule 5) and Level 4 (key account director) using the addressee blocks already inside the same file — do not create a new document.</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Archive every ticket reference, escalation reference, and complaint reference against the settlement date in the monthly working paper folder.</w:t>
      </w:r>
    </w:p>
    <w:p>
      <w:pPr>
        <w:pStyle w:val="Heading2"/>
        <w:spacing w:after="100" w:before="240"/>
      </w:pPr>
      <w:r>
        <w:rPr>
          <w:rFonts w:ascii="Calibri" w:cs="Calibri" w:eastAsia="Calibri" w:hAnsi="Calibri"/>
          <w:b/>
          <w:bCs/>
          <w:color w:val="0B2545"/>
          <w:sz w:val="24"/>
          <w:szCs w:val="24"/>
        </w:rPr>
        <w:t xml:space="preserve">IP and content notice</w:t>
      </w:r>
    </w:p>
    <w:p>
      <w:pPr>
        <w:spacing w:after="120"/>
        <w:jc w:val="left"/>
      </w:pPr>
      <w:r>
        <w:rPr>
          <w:rFonts w:ascii="Calibri" w:cs="Calibri" w:eastAsia="Calibri" w:hAnsi="Calibri"/>
          <w:sz w:val="22"/>
          <w:szCs w:val="22"/>
        </w:rPr>
        <w:t xml:space="preserve">This pack references no real restaurant, hotel, or seller identities. Every merchant name, GSTIN, phone number, and settlement ID is a placeholder. Every rupee figure is illustrative. The pack does not publish Terra Insight product pricing or reveal any part of the TransactIG or TransactIQ product architecture. Statutory citations are drawn from publicly available Indian tax, consumer protection, and payment regulation.</w:t>
      </w:r>
    </w:p>
    <w:p>
      <w:pPr>
        <w:spacing w:after="120"/>
        <w:jc w:val="left"/>
      </w:pPr>
      <w:r>
        <w:rPr>
          <w:rFonts w:ascii="Calibri" w:cs="Calibri" w:eastAsia="Calibri" w:hAnsi="Calibri"/>
          <w:b/>
          <w:bCs/>
          <w:color w:val="0B2545"/>
          <w:sz w:val="22"/>
          <w:szCs w:val="22"/>
        </w:rPr>
        <w:t xml:space="preserve">Prepared by: </w:t>
      </w:r>
      <w:r>
        <w:rPr>
          <w:rFonts w:ascii="Calibri" w:cs="Calibri" w:eastAsia="Calibri" w:hAnsi="Calibri"/>
          <w:sz w:val="22"/>
          <w:szCs w:val="22"/>
        </w:rPr>
        <w:t xml:space="preserve">Terra Insight Editorial Team</w:t>
      </w:r>
    </w:p>
    <w:p>
      <w:pPr>
        <w:spacing w:after="120"/>
        <w:jc w:val="left"/>
      </w:pPr>
      <w:r>
        <w:rPr>
          <w:rFonts w:ascii="Calibri" w:cs="Calibri" w:eastAsia="Calibri" w:hAnsi="Calibri"/>
          <w:sz w:val="22"/>
          <w:szCs w:val="22"/>
        </w:rPr>
        <w:t xml:space="preserve">For questions, corrections, or platform coverage requests: </w:t>
      </w:r>
      <w:r>
        <w:rPr>
          <w:rFonts w:ascii="Calibri" w:cs="Calibri" w:eastAsia="Calibri" w:hAnsi="Calibri"/>
          <w:b/>
          <w:bCs/>
          <w:color w:val="0B2545"/>
          <w:sz w:val="22"/>
          <w:szCs w:val="22"/>
        </w:rPr>
        <w:t xml:space="preserve">editorial@terra-insight.com</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1"/>
      </w:pBdr>
      <w:spacing w:before="40"/>
    </w:pPr>
    <w:r>
      <w:rPr>
        <w:rFonts w:ascii="Calibri" w:cs="Calibri" w:eastAsia="Calibri" w:hAnsi="Calibri"/>
        <w:sz w:val="2"/>
        <w:szCs w:val="2"/>
      </w:rPr>
      <w:t xml:space="preserve"/>
    </w:r>
  </w:p>
  <w:p>
    <w:pPr>
      <w:jc w:val="left"/>
    </w:pPr>
    <w:r>
      <w:rPr>
        <w:rFonts w:ascii="Calibri" w:cs="Calibri" w:eastAsia="Calibri" w:hAnsi="Calibri"/>
        <w:i/>
        <w:iCs/>
        <w:color w:val="4A5568"/>
        <w:sz w:val="16"/>
        <w:szCs w:val="16"/>
      </w:rPr>
      <w:t xml:space="preserve">Illustrative template — customise before sending. </w:t>
    </w:r>
    <w:r>
      <w:rPr>
        <w:rFonts w:ascii="Calibri" w:cs="Calibri" w:eastAsia="Calibri" w:hAnsi="Calibri"/>
        <w:color w:val="4A5568"/>
        <w:sz w:val="16"/>
        <w:szCs w:val="16"/>
      </w:rPr>
      <w:t xml:space="preserve">Terra Insight Editorial Team  |  Version 1.0  |  2026-08-06</w:t>
    </w:r>
    <w:r>
      <w:rPr>
        <w:rFonts w:ascii="Calibri" w:cs="Calibri" w:eastAsia="Calibri" w:hAnsi="Calibri"/>
        <w:color w:val="4A5568"/>
        <w:sz w:val="16"/>
        <w:szCs w:val="16"/>
      </w:rPr>
      <w:t xml:space="preserve">   ·  Page </w:t>
    </w:r>
    <w:r>
      <w:rPr>
        <w:rFonts w:ascii="Calibri" w:cs="Calibri" w:eastAsia="Calibri" w:hAnsi="Calibri"/>
        <w:color w:val="4A5568"/>
        <w:sz w:val="16"/>
        <w:szCs w:val="16"/>
      </w:rPr>
      <w:fldChar w:fldCharType="begin"/>
      <w:instrText xml:space="preserve">PAGE</w:instrText>
      <w:fldChar w:fldCharType="separate"/>
      <w:fldChar w:fldCharType="end"/>
    </w:r>
    <w:r>
      <w:rPr>
        <w:rFonts w:ascii="Calibri" w:cs="Calibri" w:eastAsia="Calibri" w:hAnsi="Calibri"/>
        <w:color w:val="4A5568"/>
        <w:sz w:val="16"/>
        <w:szCs w:val="16"/>
      </w:rPr>
      <w:t xml:space="preserve"> of </w:t>
    </w:r>
    <w:r>
      <w:rPr>
        <w:rFonts w:ascii="Calibri" w:cs="Calibri" w:eastAsia="Calibri" w:hAnsi="Calibri"/>
        <w:color w:val="4A556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40"/>
      <w:jc w:val="left"/>
    </w:pPr>
    <w:r>
      <w:rPr>
        <w:rFonts w:ascii="Calibri" w:cs="Calibri" w:eastAsia="Calibri" w:hAnsi="Calibri"/>
        <w:b/>
        <w:bCs/>
        <w:color w:val="0B2545"/>
        <w:sz w:val="22"/>
        <w:szCs w:val="22"/>
      </w:rPr>
      <w:t xml:space="preserve">Terra Insight</w:t>
    </w:r>
    <w:r>
      <w:rPr>
        <w:rFonts w:ascii="Calibri" w:cs="Calibri" w:eastAsia="Calibri" w:hAnsi="Calibri"/>
        <w:color w:val="4A5568"/>
        <w:sz w:val="18"/>
        <w:szCs w:val="18"/>
      </w:rPr>
      <w:t xml:space="preserve">  |  Aggregator Settlement Dispute Letter Pack</w:t>
    </w:r>
  </w:p>
  <w:p>
    <w:pPr>
      <w:pBdr>
        <w:bottom w:val="single" w:color="CBD5E0" w:sz="6" w:space="1"/>
      </w:pBdr>
      <w:spacing w:after="120"/>
    </w:pPr>
    <w:r>
      <w:rPr>
        <w:rFonts w:ascii="Calibri" w:cs="Calibri" w:eastAsia="Calibri" w:hAnsi="Calibri"/>
        <w:sz w:val="2"/>
        <w:szCs w:val="2"/>
      </w:rP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Aggregator Settlement Dispute Letter Pack — Cover Sheet</dc:title>
  <dc:creator>Terra Insight Editorial Team</dc:creator>
  <dc:description>Cover sheet and index for the 4-letter aggregator settlement dispute pack.</dc:description>
  <cp:lastModifiedBy>Un-named</cp:lastModifiedBy>
  <cp:revision>1</cp:revision>
  <dcterms:created xsi:type="dcterms:W3CDTF">2026-08-16T05:22:44.778Z</dcterms:created>
  <dcterms:modified xsi:type="dcterms:W3CDTF">2026-08-16T05:22:44.787Z</dcterms:modified>
</cp:coreProperties>
</file>

<file path=docProps/custom.xml><?xml version="1.0" encoding="utf-8"?>
<Properties xmlns="http://schemas.openxmlformats.org/officeDocument/2006/custom-properties" xmlns:vt="http://schemas.openxmlformats.org/officeDocument/2006/docPropsVTypes"/>
</file>